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960561" w:rsidP="00201E73">
      <w:pPr>
        <w:pStyle w:val="Title"/>
      </w:pPr>
      <w:r>
        <w:t>A</w:t>
      </w:r>
      <w:bookmarkStart w:id="0" w:name="_GoBack"/>
      <w:bookmarkEnd w:id="0"/>
      <w:r w:rsidR="006A553C">
        <w:t xml:space="preserve">ssignment </w:t>
      </w:r>
      <w:r w:rsidR="003B7B8E">
        <w:t xml:space="preserve">Requirements for </w:t>
      </w:r>
      <w:r w:rsidR="00303FD7">
        <w:t>mean and standard deviation program</w:t>
      </w:r>
    </w:p>
    <w:p w:rsidR="00A40053" w:rsidRPr="008F0BE1" w:rsidRDefault="003B7B8E" w:rsidP="003B7B8E">
      <w:pPr>
        <w:pStyle w:val="Author"/>
      </w:pPr>
      <w:r>
        <w:t>Personal Software Process for Engineers</w:t>
      </w:r>
    </w:p>
    <w:p w:rsidR="00FD5441" w:rsidRDefault="00837F88" w:rsidP="0040614B">
      <w:pPr>
        <w:pStyle w:val="Heading1"/>
      </w:pPr>
      <w:r>
        <w:t>Program Requirements</w:t>
      </w:r>
      <w:r w:rsidR="003B2E45">
        <w:t xml:space="preserve"> </w:t>
      </w:r>
    </w:p>
    <w:p w:rsidR="00837F88" w:rsidRDefault="00837F88" w:rsidP="00837F88">
      <w:pPr>
        <w:pStyle w:val="Body"/>
        <w:spacing w:after="0"/>
      </w:pPr>
      <w:r>
        <w:t xml:space="preserve">For a </w:t>
      </w:r>
      <w:r w:rsidRPr="00837F88">
        <w:t>series</w:t>
      </w:r>
      <w:r>
        <w:t xml:space="preserve"> of real numbers, calculate the </w:t>
      </w:r>
    </w:p>
    <w:p w:rsidR="00837F88" w:rsidRDefault="00837F88" w:rsidP="00303FD7">
      <w:pPr>
        <w:pStyle w:val="ListBulleted1"/>
      </w:pPr>
      <w:r>
        <w:t>mean</w:t>
      </w:r>
    </w:p>
    <w:p w:rsidR="00837F88" w:rsidRDefault="00837F88" w:rsidP="00303FD7">
      <w:pPr>
        <w:pStyle w:val="ListBulleted1"/>
      </w:pPr>
      <w:r>
        <w:t>standard deviation</w:t>
      </w:r>
    </w:p>
    <w:p w:rsidR="00837F88" w:rsidRDefault="00837F88" w:rsidP="00303FD7">
      <w:pPr>
        <w:pStyle w:val="ListBulleted1"/>
      </w:pPr>
      <w:r>
        <w:t>range</w:t>
      </w:r>
    </w:p>
    <w:p w:rsidR="00837F88" w:rsidRDefault="00837F88" w:rsidP="00303FD7">
      <w:pPr>
        <w:pStyle w:val="ListBulleted1"/>
      </w:pPr>
      <w:r>
        <w:t>median</w:t>
      </w:r>
    </w:p>
    <w:p w:rsidR="00837F88" w:rsidRDefault="00837F88" w:rsidP="00211915">
      <w:pPr>
        <w:pStyle w:val="ListBulleted1"/>
      </w:pPr>
      <w:r>
        <w:t>quartiles</w:t>
      </w:r>
    </w:p>
    <w:p w:rsidR="00837F88" w:rsidRDefault="00837F88" w:rsidP="00211915">
      <w:pPr>
        <w:pStyle w:val="ListBulleted1"/>
      </w:pPr>
      <w:r>
        <w:t>interquartile range</w:t>
      </w:r>
    </w:p>
    <w:p w:rsidR="00837F88" w:rsidRDefault="00837F88" w:rsidP="00303FD7">
      <w:pPr>
        <w:pStyle w:val="ListBulleted1"/>
      </w:pPr>
      <w:r>
        <w:t>skew</w:t>
      </w:r>
    </w:p>
    <w:p w:rsidR="00837F88" w:rsidRDefault="00837F88" w:rsidP="00303FD7">
      <w:pPr>
        <w:pStyle w:val="Body"/>
      </w:pPr>
      <w:r>
        <w:t xml:space="preserve">Your program must read the </w:t>
      </w:r>
      <w:r>
        <w:rPr>
          <w:i/>
        </w:rPr>
        <w:t>n</w:t>
      </w:r>
      <w:r>
        <w:t xml:space="preserve"> real numbers from the keyboard, a file, etc.</w:t>
      </w:r>
    </w:p>
    <w:p w:rsidR="00837F88" w:rsidRDefault="00837F88" w:rsidP="00303FD7">
      <w:pPr>
        <w:pStyle w:val="Body"/>
      </w:pPr>
      <w:r>
        <w:t xml:space="preserve">Use a linked list to hold the </w:t>
      </w:r>
      <w:r>
        <w:rPr>
          <w:i/>
        </w:rPr>
        <w:t>n</w:t>
      </w:r>
      <w:r>
        <w:t xml:space="preserve"> numbers for the calculations.</w:t>
      </w:r>
    </w:p>
    <w:p w:rsidR="00837F88" w:rsidRDefault="00837F88" w:rsidP="004D34F4">
      <w:pPr>
        <w:pStyle w:val="Body"/>
        <w:tabs>
          <w:tab w:val="clear" w:pos="216"/>
          <w:tab w:val="left" w:pos="1856"/>
        </w:tabs>
        <w:ind w:left="8"/>
        <w:jc w:val="left"/>
      </w:pPr>
      <w:r>
        <w:t>Thoroughly test the program. At least three of the tests should use the data in the three columns of the table below (Table D5, page 753).</w:t>
      </w:r>
    </w:p>
    <w:tbl>
      <w:tblPr>
        <w:tblW w:w="2289" w:type="pct"/>
        <w:jc w:val="center"/>
        <w:tblLayout w:type="fixed"/>
        <w:tblCellMar>
          <w:left w:w="0" w:type="dxa"/>
          <w:right w:w="0" w:type="dxa"/>
        </w:tblCellMar>
        <w:tblLook w:val="0000" w:firstRow="0" w:lastRow="0" w:firstColumn="0" w:lastColumn="0" w:noHBand="0" w:noVBand="0"/>
      </w:tblPr>
      <w:tblGrid>
        <w:gridCol w:w="1322"/>
        <w:gridCol w:w="1363"/>
        <w:gridCol w:w="1268"/>
      </w:tblGrid>
      <w:tr w:rsidR="009B71BE" w:rsidTr="009B71BE">
        <w:trPr>
          <w:trHeight w:val="120"/>
          <w:jc w:val="center"/>
        </w:trPr>
        <w:tc>
          <w:tcPr>
            <w:tcW w:w="1322" w:type="dxa"/>
            <w:tcBorders>
              <w:top w:val="single" w:sz="4" w:space="0" w:color="auto"/>
              <w:left w:val="single" w:sz="4" w:space="0" w:color="auto"/>
              <w:bottom w:val="single" w:sz="4" w:space="0" w:color="auto"/>
            </w:tcBorders>
            <w:vAlign w:val="center"/>
          </w:tcPr>
          <w:p w:rsidR="009B71BE" w:rsidRPr="00303FD7" w:rsidRDefault="009B71BE" w:rsidP="00837F88">
            <w:pPr>
              <w:pStyle w:val="TableHeading"/>
            </w:pPr>
            <w:r w:rsidRPr="00303FD7">
              <w:t>Object LOC</w:t>
            </w:r>
          </w:p>
        </w:tc>
        <w:tc>
          <w:tcPr>
            <w:tcW w:w="1363" w:type="dxa"/>
            <w:tcBorders>
              <w:top w:val="single" w:sz="4" w:space="0" w:color="auto"/>
              <w:left w:val="single" w:sz="4" w:space="0" w:color="auto"/>
              <w:bottom w:val="single" w:sz="4" w:space="0" w:color="auto"/>
            </w:tcBorders>
            <w:vAlign w:val="center"/>
          </w:tcPr>
          <w:p w:rsidR="009B71BE" w:rsidRPr="00303FD7" w:rsidRDefault="009B71BE" w:rsidP="00837F88">
            <w:pPr>
              <w:pStyle w:val="TableHeading"/>
            </w:pPr>
            <w:r w:rsidRPr="00303FD7">
              <w:t>New and Changed LOC</w:t>
            </w:r>
          </w:p>
        </w:tc>
        <w:tc>
          <w:tcPr>
            <w:tcW w:w="1268" w:type="dxa"/>
            <w:tcBorders>
              <w:top w:val="single" w:sz="4" w:space="0" w:color="auto"/>
              <w:left w:val="single" w:sz="4" w:space="0" w:color="auto"/>
              <w:bottom w:val="single" w:sz="4" w:space="0" w:color="auto"/>
            </w:tcBorders>
            <w:vAlign w:val="center"/>
          </w:tcPr>
          <w:p w:rsidR="009B71BE" w:rsidRPr="00303FD7" w:rsidRDefault="009B71BE" w:rsidP="00837F88">
            <w:pPr>
              <w:pStyle w:val="TableHeading"/>
            </w:pPr>
            <w:r w:rsidRPr="00303FD7">
              <w:t>Development Hours</w:t>
            </w:r>
          </w:p>
        </w:tc>
      </w:tr>
      <w:tr w:rsidR="009B71BE" w:rsidTr="009B71BE">
        <w:trPr>
          <w:trHeight w:val="320"/>
          <w:jc w:val="center"/>
        </w:trPr>
        <w:tc>
          <w:tcPr>
            <w:tcW w:w="1322"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160</w:t>
            </w:r>
          </w:p>
        </w:tc>
        <w:tc>
          <w:tcPr>
            <w:tcW w:w="1363"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186</w:t>
            </w:r>
          </w:p>
        </w:tc>
        <w:tc>
          <w:tcPr>
            <w:tcW w:w="1268"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15.0</w:t>
            </w:r>
          </w:p>
        </w:tc>
      </w:tr>
      <w:tr w:rsidR="009B71BE" w:rsidTr="009B71BE">
        <w:trPr>
          <w:trHeight w:val="320"/>
          <w:jc w:val="center"/>
        </w:trPr>
        <w:tc>
          <w:tcPr>
            <w:tcW w:w="1322"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591</w:t>
            </w:r>
          </w:p>
        </w:tc>
        <w:tc>
          <w:tcPr>
            <w:tcW w:w="1363"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699</w:t>
            </w:r>
          </w:p>
        </w:tc>
        <w:tc>
          <w:tcPr>
            <w:tcW w:w="1268"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69.9</w:t>
            </w:r>
          </w:p>
        </w:tc>
      </w:tr>
      <w:tr w:rsidR="009B71BE" w:rsidTr="009B71BE">
        <w:trPr>
          <w:trHeight w:val="320"/>
          <w:jc w:val="center"/>
        </w:trPr>
        <w:tc>
          <w:tcPr>
            <w:tcW w:w="1322"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114</w:t>
            </w:r>
          </w:p>
        </w:tc>
        <w:tc>
          <w:tcPr>
            <w:tcW w:w="1363"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132</w:t>
            </w:r>
          </w:p>
        </w:tc>
        <w:tc>
          <w:tcPr>
            <w:tcW w:w="1268"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6.5</w:t>
            </w:r>
          </w:p>
        </w:tc>
      </w:tr>
      <w:tr w:rsidR="009B71BE" w:rsidTr="009B71BE">
        <w:trPr>
          <w:trHeight w:val="320"/>
          <w:jc w:val="center"/>
        </w:trPr>
        <w:tc>
          <w:tcPr>
            <w:tcW w:w="1322"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229</w:t>
            </w:r>
          </w:p>
        </w:tc>
        <w:tc>
          <w:tcPr>
            <w:tcW w:w="1363"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272</w:t>
            </w:r>
          </w:p>
        </w:tc>
        <w:tc>
          <w:tcPr>
            <w:tcW w:w="1268" w:type="dxa"/>
            <w:tcBorders>
              <w:top w:val="single" w:sz="4" w:space="0" w:color="auto"/>
              <w:left w:val="single" w:sz="4" w:space="0" w:color="auto"/>
              <w:bottom w:val="single" w:sz="4" w:space="0" w:color="auto"/>
              <w:right w:val="single" w:sz="4" w:space="0" w:color="auto"/>
            </w:tcBorders>
            <w:vAlign w:val="center"/>
          </w:tcPr>
          <w:p w:rsidR="009B71BE" w:rsidRPr="00303FD7" w:rsidRDefault="009B71BE" w:rsidP="00837F88">
            <w:pPr>
              <w:pStyle w:val="TableBody"/>
            </w:pPr>
            <w:r w:rsidRPr="00303FD7">
              <w:t>22.4</w:t>
            </w:r>
          </w:p>
        </w:tc>
      </w:tr>
      <w:tr w:rsidR="009B71BE" w:rsidTr="009B71BE">
        <w:trPr>
          <w:trHeight w:val="320"/>
          <w:jc w:val="center"/>
        </w:trPr>
        <w:tc>
          <w:tcPr>
            <w:tcW w:w="1322"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230</w:t>
            </w:r>
          </w:p>
        </w:tc>
        <w:tc>
          <w:tcPr>
            <w:tcW w:w="1363"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291</w:t>
            </w:r>
          </w:p>
        </w:tc>
        <w:tc>
          <w:tcPr>
            <w:tcW w:w="1268" w:type="dxa"/>
            <w:tcBorders>
              <w:top w:val="single" w:sz="4" w:space="0" w:color="auto"/>
              <w:left w:val="single" w:sz="4" w:space="0" w:color="auto"/>
              <w:bottom w:val="single" w:sz="4" w:space="0" w:color="auto"/>
              <w:right w:val="single" w:sz="4" w:space="0" w:color="auto"/>
            </w:tcBorders>
            <w:vAlign w:val="center"/>
          </w:tcPr>
          <w:p w:rsidR="009B71BE" w:rsidRPr="00303FD7" w:rsidRDefault="009B71BE" w:rsidP="00837F88">
            <w:pPr>
              <w:pStyle w:val="TableBody"/>
            </w:pPr>
            <w:r w:rsidRPr="00303FD7">
              <w:t>28.4</w:t>
            </w:r>
          </w:p>
        </w:tc>
      </w:tr>
      <w:tr w:rsidR="009B71BE" w:rsidTr="009B71BE">
        <w:trPr>
          <w:trHeight w:val="320"/>
          <w:jc w:val="center"/>
        </w:trPr>
        <w:tc>
          <w:tcPr>
            <w:tcW w:w="1322"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270</w:t>
            </w:r>
          </w:p>
        </w:tc>
        <w:tc>
          <w:tcPr>
            <w:tcW w:w="1363"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331</w:t>
            </w:r>
          </w:p>
        </w:tc>
        <w:tc>
          <w:tcPr>
            <w:tcW w:w="1268"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65.9</w:t>
            </w:r>
          </w:p>
        </w:tc>
      </w:tr>
      <w:tr w:rsidR="009B71BE" w:rsidTr="009B71BE">
        <w:trPr>
          <w:trHeight w:val="320"/>
          <w:jc w:val="center"/>
        </w:trPr>
        <w:tc>
          <w:tcPr>
            <w:tcW w:w="1322"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128</w:t>
            </w:r>
          </w:p>
        </w:tc>
        <w:tc>
          <w:tcPr>
            <w:tcW w:w="1363"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199</w:t>
            </w:r>
          </w:p>
        </w:tc>
        <w:tc>
          <w:tcPr>
            <w:tcW w:w="1268"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19.4</w:t>
            </w:r>
          </w:p>
        </w:tc>
      </w:tr>
      <w:tr w:rsidR="009B71BE" w:rsidTr="009B71BE">
        <w:trPr>
          <w:trHeight w:val="320"/>
          <w:jc w:val="center"/>
        </w:trPr>
        <w:tc>
          <w:tcPr>
            <w:tcW w:w="1322"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1657</w:t>
            </w:r>
          </w:p>
        </w:tc>
        <w:tc>
          <w:tcPr>
            <w:tcW w:w="1363"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1890</w:t>
            </w:r>
          </w:p>
        </w:tc>
        <w:tc>
          <w:tcPr>
            <w:tcW w:w="1268"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198.7</w:t>
            </w:r>
          </w:p>
        </w:tc>
      </w:tr>
      <w:tr w:rsidR="009B71BE" w:rsidTr="009B71BE">
        <w:trPr>
          <w:trHeight w:val="320"/>
          <w:jc w:val="center"/>
        </w:trPr>
        <w:tc>
          <w:tcPr>
            <w:tcW w:w="1322"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624</w:t>
            </w:r>
          </w:p>
        </w:tc>
        <w:tc>
          <w:tcPr>
            <w:tcW w:w="1363"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788</w:t>
            </w:r>
          </w:p>
        </w:tc>
        <w:tc>
          <w:tcPr>
            <w:tcW w:w="1268"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38.8</w:t>
            </w:r>
          </w:p>
        </w:tc>
      </w:tr>
      <w:tr w:rsidR="009B71BE" w:rsidTr="009B71BE">
        <w:trPr>
          <w:trHeight w:val="320"/>
          <w:jc w:val="center"/>
        </w:trPr>
        <w:tc>
          <w:tcPr>
            <w:tcW w:w="1322"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1503</w:t>
            </w:r>
          </w:p>
        </w:tc>
        <w:tc>
          <w:tcPr>
            <w:tcW w:w="1363"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1601</w:t>
            </w:r>
          </w:p>
        </w:tc>
        <w:tc>
          <w:tcPr>
            <w:tcW w:w="1268" w:type="dxa"/>
            <w:tcBorders>
              <w:top w:val="single" w:sz="4" w:space="0" w:color="auto"/>
              <w:left w:val="single" w:sz="4" w:space="0" w:color="auto"/>
              <w:bottom w:val="single" w:sz="4" w:space="0" w:color="auto"/>
            </w:tcBorders>
            <w:vAlign w:val="center"/>
          </w:tcPr>
          <w:p w:rsidR="009B71BE" w:rsidRPr="00303FD7" w:rsidRDefault="009B71BE" w:rsidP="00837F88">
            <w:pPr>
              <w:pStyle w:val="TableBody"/>
            </w:pPr>
            <w:r w:rsidRPr="00303FD7">
              <w:t>138.2</w:t>
            </w:r>
          </w:p>
        </w:tc>
      </w:tr>
    </w:tbl>
    <w:p w:rsidR="00837F88" w:rsidRDefault="00837F88" w:rsidP="009B71BE">
      <w:pPr>
        <w:pStyle w:val="Body"/>
        <w:tabs>
          <w:tab w:val="clear" w:pos="216"/>
          <w:tab w:val="left" w:pos="1855"/>
        </w:tabs>
        <w:spacing w:before="240"/>
        <w:ind w:left="9"/>
        <w:jc w:val="left"/>
      </w:pPr>
      <w:r w:rsidRPr="00837F88">
        <w:t>The</w:t>
      </w:r>
      <w:r>
        <w:t xml:space="preserve"> expected results are</w:t>
      </w:r>
    </w:p>
    <w:tbl>
      <w:tblPr>
        <w:tblStyle w:val="TableGrid"/>
        <w:tblW w:w="0" w:type="auto"/>
        <w:jc w:val="center"/>
        <w:tblLayout w:type="fixed"/>
        <w:tblLook w:val="04A0" w:firstRow="1" w:lastRow="0" w:firstColumn="1" w:lastColumn="0" w:noHBand="0" w:noVBand="1"/>
      </w:tblPr>
      <w:tblGrid>
        <w:gridCol w:w="1764"/>
        <w:gridCol w:w="795"/>
        <w:gridCol w:w="795"/>
        <w:gridCol w:w="706"/>
      </w:tblGrid>
      <w:tr w:rsidR="00837F88" w:rsidRPr="00837F88" w:rsidTr="009B71BE">
        <w:trPr>
          <w:jc w:val="center"/>
        </w:trPr>
        <w:tc>
          <w:tcPr>
            <w:tcW w:w="1764" w:type="dxa"/>
          </w:tcPr>
          <w:p w:rsidR="00837F88" w:rsidRPr="00837F88" w:rsidRDefault="00837F88" w:rsidP="009B71BE">
            <w:pPr>
              <w:pStyle w:val="TableHeading"/>
              <w:keepNext w:val="0"/>
            </w:pPr>
            <w:r w:rsidRPr="00837F88">
              <w:t>Mean</w:t>
            </w:r>
          </w:p>
        </w:tc>
        <w:tc>
          <w:tcPr>
            <w:tcW w:w="795" w:type="dxa"/>
          </w:tcPr>
          <w:p w:rsidR="00837F88" w:rsidRPr="00837F88" w:rsidRDefault="00837F88" w:rsidP="009B71BE">
            <w:pPr>
              <w:pStyle w:val="TableBody"/>
            </w:pPr>
            <w:r w:rsidRPr="00837F88">
              <w:t>550.6</w:t>
            </w:r>
          </w:p>
        </w:tc>
        <w:tc>
          <w:tcPr>
            <w:tcW w:w="795" w:type="dxa"/>
          </w:tcPr>
          <w:p w:rsidR="00837F88" w:rsidRPr="00837F88" w:rsidRDefault="00837F88" w:rsidP="009B71BE">
            <w:pPr>
              <w:pStyle w:val="TableBody"/>
            </w:pPr>
            <w:r w:rsidRPr="00837F88">
              <w:t>638.9</w:t>
            </w:r>
          </w:p>
        </w:tc>
        <w:tc>
          <w:tcPr>
            <w:tcW w:w="706" w:type="dxa"/>
          </w:tcPr>
          <w:p w:rsidR="00837F88" w:rsidRPr="00837F88" w:rsidRDefault="00837F88" w:rsidP="009B71BE">
            <w:pPr>
              <w:pStyle w:val="TableBody"/>
            </w:pPr>
            <w:r w:rsidRPr="00837F88">
              <w:t>60.32</w:t>
            </w:r>
          </w:p>
        </w:tc>
      </w:tr>
      <w:tr w:rsidR="00837F88" w:rsidRPr="00837F88" w:rsidTr="009B71BE">
        <w:trPr>
          <w:jc w:val="center"/>
        </w:trPr>
        <w:tc>
          <w:tcPr>
            <w:tcW w:w="1764" w:type="dxa"/>
          </w:tcPr>
          <w:p w:rsidR="00837F88" w:rsidRPr="00837F88" w:rsidRDefault="00837F88" w:rsidP="009B71BE">
            <w:pPr>
              <w:pStyle w:val="TableHeading"/>
              <w:keepNext w:val="0"/>
            </w:pPr>
            <w:r w:rsidRPr="00837F88">
              <w:t>Standard Deviation</w:t>
            </w:r>
          </w:p>
        </w:tc>
        <w:tc>
          <w:tcPr>
            <w:tcW w:w="795" w:type="dxa"/>
          </w:tcPr>
          <w:p w:rsidR="00837F88" w:rsidRPr="00837F88" w:rsidRDefault="00837F88" w:rsidP="009B71BE">
            <w:pPr>
              <w:pStyle w:val="TableBody"/>
            </w:pPr>
            <w:r w:rsidRPr="00837F88">
              <w:t>572.03</w:t>
            </w:r>
          </w:p>
        </w:tc>
        <w:tc>
          <w:tcPr>
            <w:tcW w:w="795" w:type="dxa"/>
          </w:tcPr>
          <w:p w:rsidR="00837F88" w:rsidRPr="00837F88" w:rsidRDefault="00837F88" w:rsidP="009B71BE">
            <w:pPr>
              <w:pStyle w:val="TableBody"/>
            </w:pPr>
            <w:r w:rsidRPr="00837F88">
              <w:t>625.63</w:t>
            </w:r>
          </w:p>
        </w:tc>
        <w:tc>
          <w:tcPr>
            <w:tcW w:w="706" w:type="dxa"/>
          </w:tcPr>
          <w:p w:rsidR="00837F88" w:rsidRPr="00837F88" w:rsidRDefault="00837F88" w:rsidP="009B71BE">
            <w:pPr>
              <w:pStyle w:val="TableBody"/>
            </w:pPr>
            <w:r w:rsidRPr="00837F88">
              <w:t>62.26</w:t>
            </w:r>
          </w:p>
        </w:tc>
      </w:tr>
    </w:tbl>
    <w:p w:rsidR="00837F88" w:rsidRDefault="00837F88" w:rsidP="00837F88">
      <w:pPr>
        <w:pStyle w:val="Heading2"/>
        <w:rPr>
          <w:kern w:val="28"/>
          <w:szCs w:val="18"/>
        </w:rPr>
      </w:pPr>
      <w:r w:rsidRPr="00303FD7">
        <w:lastRenderedPageBreak/>
        <w:t>Mean and</w:t>
      </w:r>
      <w:r>
        <w:t xml:space="preserve"> </w:t>
      </w:r>
      <w:r w:rsidRPr="00303FD7">
        <w:t>Standard Deviation</w:t>
      </w:r>
      <w:r>
        <w:rPr>
          <w:kern w:val="28"/>
          <w:szCs w:val="18"/>
        </w:rPr>
        <w:tab/>
      </w:r>
    </w:p>
    <w:p w:rsidR="00837F88" w:rsidRDefault="00837F88" w:rsidP="00303FD7">
      <w:pPr>
        <w:pStyle w:val="Body"/>
        <w:spacing w:before="0"/>
      </w:pPr>
      <w:r>
        <w:t xml:space="preserve">The </w:t>
      </w:r>
      <w:r>
        <w:rPr>
          <w:b/>
        </w:rPr>
        <w:t>mean</w:t>
      </w:r>
      <w:r>
        <w:t xml:space="preserve"> is the average of the </w:t>
      </w:r>
      <w:r>
        <w:rPr>
          <w:i/>
        </w:rPr>
        <w:t>n</w:t>
      </w:r>
      <w:r>
        <w:t xml:space="preserve"> numbers.</w:t>
      </w:r>
    </w:p>
    <w:p w:rsidR="00837F88" w:rsidRDefault="00837F88" w:rsidP="00837F88">
      <w:pPr>
        <w:pStyle w:val="Body"/>
        <w:spacing w:after="240"/>
      </w:pPr>
      <w:r>
        <w:t xml:space="preserve">The </w:t>
      </w:r>
      <w:r>
        <w:rPr>
          <w:b/>
        </w:rPr>
        <w:t>standard deviation</w:t>
      </w:r>
      <w:r>
        <w:t xml:space="preserve"> is calculated as follows.</w:t>
      </w:r>
    </w:p>
    <w:p w:rsidR="00837F88" w:rsidRDefault="00837F88" w:rsidP="00303FD7">
      <w:pPr>
        <w:pStyle w:val="BlockText1"/>
        <w:ind w:left="0"/>
        <w:rPr>
          <w:sz w:val="28"/>
        </w:rPr>
      </w:pPr>
      <w:r>
        <w:rPr>
          <w:sz w:val="28"/>
        </w:rPr>
        <w:t xml:space="preserve"> </w:t>
      </w:r>
      <w:r>
        <w:rPr>
          <w:noProof/>
          <w:sz w:val="20"/>
        </w:rPr>
        <w:drawing>
          <wp:inline distT="0" distB="0" distL="0" distR="0" wp14:anchorId="760591A1" wp14:editId="4EB0BC4F">
            <wp:extent cx="1638300" cy="62039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38300" cy="620395"/>
                    </a:xfrm>
                    <a:prstGeom prst="rect">
                      <a:avLst/>
                    </a:prstGeom>
                    <a:noFill/>
                    <a:ln>
                      <a:noFill/>
                    </a:ln>
                  </pic:spPr>
                </pic:pic>
              </a:graphicData>
            </a:graphic>
          </wp:inline>
        </w:drawing>
      </w:r>
    </w:p>
    <w:p w:rsidR="00837F88" w:rsidRDefault="00837F88" w:rsidP="009B71BE">
      <w:pPr>
        <w:pStyle w:val="ListBulleted1"/>
        <w:spacing w:before="180"/>
      </w:pPr>
      <w:r>
        <w:rPr>
          <w:rFonts w:ascii="Symbol" w:hAnsi="Symbol"/>
        </w:rPr>
        <w:t></w:t>
      </w:r>
      <w:r>
        <w:t xml:space="preserve"> is the symbol for standard deviation.</w:t>
      </w:r>
    </w:p>
    <w:p w:rsidR="00837F88" w:rsidRDefault="00837F88" w:rsidP="009B71BE">
      <w:pPr>
        <w:pStyle w:val="ListBulleted1"/>
      </w:pPr>
      <w:r>
        <w:rPr>
          <w:rFonts w:ascii="Symbol" w:hAnsi="Symbol"/>
        </w:rPr>
        <w:t></w:t>
      </w:r>
      <w:r>
        <w:t xml:space="preserve"> is the symbol for summation.</w:t>
      </w:r>
    </w:p>
    <w:p w:rsidR="00837F88" w:rsidRDefault="00837F88" w:rsidP="009B71BE">
      <w:pPr>
        <w:pStyle w:val="ListBulleted1"/>
      </w:pPr>
      <w:r w:rsidRPr="00303FD7">
        <w:rPr>
          <w:i/>
        </w:rPr>
        <w:t>i</w:t>
      </w:r>
      <w:r>
        <w:t xml:space="preserve"> is an index to the </w:t>
      </w:r>
      <w:r>
        <w:rPr>
          <w:i/>
        </w:rPr>
        <w:t>n</w:t>
      </w:r>
      <w:r>
        <w:t xml:space="preserve"> numbers.</w:t>
      </w:r>
    </w:p>
    <w:p w:rsidR="00837F88" w:rsidRDefault="00837F88" w:rsidP="009B71BE">
      <w:pPr>
        <w:pStyle w:val="ListBulleted1"/>
      </w:pPr>
      <w:proofErr w:type="spellStart"/>
      <w:r w:rsidRPr="00303FD7">
        <w:rPr>
          <w:i/>
        </w:rPr>
        <w:t>X</w:t>
      </w:r>
      <w:r w:rsidRPr="00303FD7">
        <w:rPr>
          <w:i/>
          <w:szCs w:val="21"/>
          <w:vertAlign w:val="subscript"/>
        </w:rPr>
        <w:t>avg</w:t>
      </w:r>
      <w:proofErr w:type="spellEnd"/>
      <w:r>
        <w:rPr>
          <w:sz w:val="36"/>
        </w:rPr>
        <w:t xml:space="preserve"> </w:t>
      </w:r>
      <w:r>
        <w:t xml:space="preserve">is the average value of the </w:t>
      </w:r>
      <w:r>
        <w:rPr>
          <w:i/>
        </w:rPr>
        <w:t>n</w:t>
      </w:r>
      <w:r>
        <w:t xml:space="preserve"> numbers.</w:t>
      </w:r>
    </w:p>
    <w:p w:rsidR="00FD5441" w:rsidRDefault="00FD5441" w:rsidP="00FD5441">
      <w:pPr>
        <w:pStyle w:val="Maptitle"/>
      </w:pPr>
    </w:p>
    <w:p w:rsidR="00FD5441" w:rsidRDefault="00FD5441">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960561">
        <w:rPr>
          <w:rFonts w:cs="Arial"/>
          <w:snapToGrid w:val="0"/>
        </w:rPr>
        <w:t>20</w:t>
      </w:r>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8"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9"/>
      <w:footerReference w:type="even" r:id="rId10"/>
      <w:footerReference w:type="default" r:id="rId11"/>
      <w:headerReference w:type="first" r:id="rId12"/>
      <w:footerReference w:type="first" r:id="rId13"/>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jc w:val="left"/>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9B71BE">
      <w:rPr>
        <w:rStyle w:val="PageNumber"/>
        <w:rFonts w:cs="Arial"/>
        <w:noProof/>
      </w:rPr>
      <w:t>3</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jc w:val="left"/>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1"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6"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7"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0" w15:restartNumberingAfterBreak="0">
    <w:nsid w:val="7875782F"/>
    <w:multiLevelType w:val="hybridMultilevel"/>
    <w:tmpl w:val="FAC64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2"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num w:numId="1">
    <w:abstractNumId w:val="23"/>
  </w:num>
  <w:num w:numId="2">
    <w:abstractNumId w:val="12"/>
  </w:num>
  <w:num w:numId="3">
    <w:abstractNumId w:val="26"/>
  </w:num>
  <w:num w:numId="4">
    <w:abstractNumId w:val="18"/>
  </w:num>
  <w:num w:numId="5">
    <w:abstractNumId w:val="25"/>
  </w:num>
  <w:num w:numId="6">
    <w:abstractNumId w:val="15"/>
  </w:num>
  <w:num w:numId="7">
    <w:abstractNumId w:val="29"/>
  </w:num>
  <w:num w:numId="8">
    <w:abstractNumId w:val="18"/>
    <w:lvlOverride w:ilvl="0">
      <w:startOverride w:val="1"/>
    </w:lvlOverride>
  </w:num>
  <w:num w:numId="9">
    <w:abstractNumId w:val="18"/>
    <w:lvlOverride w:ilvl="0">
      <w:startOverride w:val="1"/>
    </w:lvlOverride>
  </w:num>
  <w:num w:numId="10">
    <w:abstractNumId w:val="32"/>
    <w:lvlOverride w:ilvl="0">
      <w:startOverride w:val="1"/>
    </w:lvlOverride>
  </w:num>
  <w:num w:numId="11">
    <w:abstractNumId w:val="11"/>
  </w:num>
  <w:num w:numId="12">
    <w:abstractNumId w:val="22"/>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29"/>
    <w:lvlOverride w:ilvl="0">
      <w:startOverride w:val="1"/>
    </w:lvlOverride>
  </w:num>
  <w:num w:numId="26">
    <w:abstractNumId w:val="14"/>
  </w:num>
  <w:num w:numId="27">
    <w:abstractNumId w:val="18"/>
    <w:lvlOverride w:ilvl="0">
      <w:startOverride w:val="1"/>
    </w:lvlOverride>
  </w:num>
  <w:num w:numId="28">
    <w:abstractNumId w:val="32"/>
  </w:num>
  <w:num w:numId="29">
    <w:abstractNumId w:val="24"/>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0"/>
  </w:num>
  <w:num w:numId="36">
    <w:abstractNumId w:val="18"/>
    <w:lvlOverride w:ilvl="0">
      <w:startOverride w:val="1"/>
    </w:lvlOverride>
  </w:num>
  <w:num w:numId="37">
    <w:abstractNumId w:val="28"/>
  </w:num>
  <w:num w:numId="38">
    <w:abstractNumId w:val="0"/>
  </w:num>
  <w:num w:numId="39">
    <w:abstractNumId w:val="27"/>
  </w:num>
  <w:num w:numId="40">
    <w:abstractNumId w:val="1"/>
  </w:num>
  <w:num w:numId="41">
    <w:abstractNumId w:val="19"/>
  </w:num>
  <w:num w:numId="42">
    <w:abstractNumId w:val="31"/>
  </w:num>
  <w:num w:numId="43">
    <w:abstractNumId w:val="21"/>
  </w:num>
  <w:num w:numId="44">
    <w:abstractNumId w:val="17"/>
  </w:num>
  <w:num w:numId="45">
    <w:abstractNumId w:val="13"/>
  </w:num>
  <w:num w:numId="46">
    <w:abstractNumId w:val="16"/>
  </w:num>
  <w:num w:numId="47">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autoHyphenation/>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3B81"/>
    <w:rsid w:val="002D45A6"/>
    <w:rsid w:val="002D541C"/>
    <w:rsid w:val="002D65FD"/>
    <w:rsid w:val="002D7E09"/>
    <w:rsid w:val="002E1CEC"/>
    <w:rsid w:val="002E40B4"/>
    <w:rsid w:val="002E5F43"/>
    <w:rsid w:val="002E7F2E"/>
    <w:rsid w:val="002F78E7"/>
    <w:rsid w:val="003008E3"/>
    <w:rsid w:val="003032DE"/>
    <w:rsid w:val="00303FD7"/>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14B"/>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4F4"/>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37F88"/>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0561"/>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B71BE"/>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408C357"/>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672579"/>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F42960"/>
    <w:pPr>
      <w:tabs>
        <w:tab w:val="left" w:pos="216"/>
      </w:tabs>
      <w:spacing w:before="180" w:after="180" w:line="280" w:lineRule="atLeast"/>
      <w:jc w:val="both"/>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jc w:val="left"/>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403787"/>
    <w:pPr>
      <w:keepNext/>
      <w:spacing w:before="40" w:after="4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FD5441"/>
    <w:pPr>
      <w:spacing w:before="20" w:after="20"/>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jc w:val="left"/>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jc w:val="left"/>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jc w:val="left"/>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Continuedonnextpage">
    <w:name w:val="Continued on next page"/>
    <w:basedOn w:val="Blockline"/>
    <w:next w:val="Maptitle"/>
    <w:rsid w:val="00303FD7"/>
    <w:pPr>
      <w:pBdr>
        <w:top w:val="single" w:sz="6" w:space="4" w:color="auto"/>
      </w:pBdr>
      <w:spacing w:line="260" w:lineRule="atLeast"/>
      <w:jc w:val="right"/>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16</TotalTime>
  <Pages>3</Pages>
  <Words>380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5</cp:revision>
  <cp:lastPrinted>2015-04-23T18:42:00Z</cp:lastPrinted>
  <dcterms:created xsi:type="dcterms:W3CDTF">2018-11-15T16:02:00Z</dcterms:created>
  <dcterms:modified xsi:type="dcterms:W3CDTF">2020-03-03T19:41:00Z</dcterms:modified>
</cp:coreProperties>
</file>