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A553C" w:rsidP="00201E73">
      <w:pPr>
        <w:pStyle w:val="Title"/>
      </w:pPr>
      <w:r>
        <w:t xml:space="preserve">assignment </w:t>
      </w:r>
      <w:r w:rsidR="003B7B8E">
        <w:t xml:space="preserve">Requirements for </w:t>
      </w:r>
      <w:r w:rsidR="00C27E82" w:rsidRPr="00C27E82">
        <w:rPr>
          <w:i/>
          <w:caps w:val="0"/>
        </w:rPr>
        <w:t>t</w:t>
      </w:r>
      <w:r w:rsidR="00C27E82">
        <w:t xml:space="preserve"> Distribution Program</w:t>
      </w:r>
    </w:p>
    <w:p w:rsidR="00A40053" w:rsidRPr="008F0BE1" w:rsidRDefault="003B7B8E" w:rsidP="003B7B8E">
      <w:pPr>
        <w:pStyle w:val="Author"/>
      </w:pPr>
      <w:r>
        <w:t>Personal Software Process for Engineers</w:t>
      </w:r>
    </w:p>
    <w:p w:rsidR="0042329F" w:rsidRDefault="0042329F" w:rsidP="0042329F">
      <w:pPr>
        <w:pStyle w:val="Heading1"/>
        <w:spacing w:after="240"/>
        <w:rPr>
          <w:b w:val="0"/>
        </w:rPr>
      </w:pPr>
      <w:r w:rsidRPr="00C27E82">
        <w:t>Program Requirements</w:t>
      </w:r>
      <w:bookmarkStart w:id="0" w:name="_GoBack"/>
      <w:bookmarkEnd w:id="0"/>
      <w:r w:rsidRPr="00C27E82">
        <w:rPr>
          <w:b w:val="0"/>
        </w:rPr>
        <w:tab/>
      </w:r>
    </w:p>
    <w:p w:rsidR="0042329F" w:rsidRPr="0042329F" w:rsidRDefault="0042329F" w:rsidP="0042329F">
      <w:pPr>
        <w:pStyle w:val="Body"/>
      </w:pPr>
      <w:r w:rsidRPr="0042329F">
        <w:t>Write a program to calculate the correlation between two series of numbers and calculate the significance of that correlation.</w:t>
      </w:r>
    </w:p>
    <w:p w:rsidR="0042329F" w:rsidRPr="0042329F" w:rsidRDefault="0042329F" w:rsidP="0042329F">
      <w:pPr>
        <w:pStyle w:val="Body"/>
      </w:pPr>
      <w:r w:rsidRPr="0042329F">
        <w:t xml:space="preserve">Use the Simpson’s integration routine from Program 5A to calculate the values of the </w:t>
      </w:r>
      <w:r w:rsidRPr="00861D80">
        <w:rPr>
          <w:i/>
        </w:rPr>
        <w:t>t</w:t>
      </w:r>
      <w:r w:rsidRPr="0042329F">
        <w:t xml:space="preserve"> distribution.</w:t>
      </w:r>
    </w:p>
    <w:p w:rsidR="0042329F" w:rsidRPr="0042329F" w:rsidRDefault="0042329F" w:rsidP="0042329F">
      <w:pPr>
        <w:pStyle w:val="Body"/>
      </w:pPr>
      <w:r w:rsidRPr="0042329F">
        <w:t>Hold the data in a linked list.</w:t>
      </w:r>
    </w:p>
    <w:p w:rsidR="0042329F" w:rsidRPr="0042329F" w:rsidRDefault="0042329F" w:rsidP="0042329F">
      <w:pPr>
        <w:pStyle w:val="Body"/>
        <w:spacing w:after="240"/>
      </w:pPr>
      <w:r w:rsidRPr="0042329F">
        <w:t xml:space="preserve">Test the program with the actual new and changed LOC in Table D12 as the </w:t>
      </w:r>
      <w:r w:rsidRPr="00861D80">
        <w:rPr>
          <w:i/>
        </w:rPr>
        <w:t>x</w:t>
      </w:r>
      <w:r w:rsidRPr="0042329F">
        <w:t xml:space="preserve"> data and the development hours in Table D12 as the </w:t>
      </w:r>
      <w:r w:rsidRPr="00861D80">
        <w:rPr>
          <w:i/>
        </w:rPr>
        <w:t>y</w:t>
      </w:r>
      <w:r w:rsidRPr="0042329F">
        <w:t xml:space="preserve"> data (p. 759).</w:t>
      </w:r>
    </w:p>
    <w:tbl>
      <w:tblPr>
        <w:tblW w:w="3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5"/>
        <w:gridCol w:w="1746"/>
        <w:gridCol w:w="1745"/>
      </w:tblGrid>
      <w:tr w:rsidR="00C27E82" w:rsidTr="0042329F">
        <w:trPr>
          <w:jc w:val="center"/>
        </w:trPr>
        <w:tc>
          <w:tcPr>
            <w:tcW w:w="1745" w:type="dxa"/>
            <w:tcBorders>
              <w:top w:val="nil"/>
              <w:left w:val="nil"/>
              <w:bottom w:val="nil"/>
              <w:right w:val="nil"/>
            </w:tcBorders>
          </w:tcPr>
          <w:p w:rsidR="00C27E82" w:rsidRPr="00133ADD" w:rsidRDefault="00C27E82" w:rsidP="0042329F">
            <w:pPr>
              <w:pStyle w:val="TableHeading"/>
            </w:pPr>
            <w:r w:rsidRPr="00133ADD">
              <w:t>Item Number</w:t>
            </w:r>
          </w:p>
        </w:tc>
        <w:tc>
          <w:tcPr>
            <w:tcW w:w="1746" w:type="dxa"/>
            <w:tcBorders>
              <w:top w:val="nil"/>
              <w:left w:val="nil"/>
              <w:bottom w:val="nil"/>
              <w:right w:val="nil"/>
            </w:tcBorders>
          </w:tcPr>
          <w:p w:rsidR="00C27E82" w:rsidRPr="00133ADD" w:rsidRDefault="00C27E82" w:rsidP="0042329F">
            <w:pPr>
              <w:pStyle w:val="TableHeading"/>
            </w:pPr>
            <w:r w:rsidRPr="00133ADD">
              <w:t>Actual New and Changed LOC</w:t>
            </w:r>
          </w:p>
        </w:tc>
        <w:tc>
          <w:tcPr>
            <w:tcW w:w="1745" w:type="dxa"/>
            <w:tcBorders>
              <w:top w:val="nil"/>
              <w:left w:val="nil"/>
              <w:bottom w:val="nil"/>
              <w:right w:val="nil"/>
            </w:tcBorders>
          </w:tcPr>
          <w:p w:rsidR="00C27E82" w:rsidRPr="00133ADD" w:rsidRDefault="00C27E82" w:rsidP="0042329F">
            <w:pPr>
              <w:pStyle w:val="TableHeading"/>
            </w:pPr>
            <w:r w:rsidRPr="00133ADD">
              <w:t>Development Hours</w:t>
            </w:r>
          </w:p>
        </w:tc>
      </w:tr>
      <w:tr w:rsidR="00C27E82" w:rsidTr="0042329F">
        <w:trPr>
          <w:jc w:val="center"/>
        </w:trPr>
        <w:tc>
          <w:tcPr>
            <w:tcW w:w="1745" w:type="dxa"/>
            <w:tcBorders>
              <w:top w:val="nil"/>
              <w:left w:val="nil"/>
              <w:bottom w:val="single" w:sz="4" w:space="0" w:color="auto"/>
              <w:right w:val="nil"/>
            </w:tcBorders>
          </w:tcPr>
          <w:p w:rsidR="00C27E82" w:rsidRPr="00133ADD" w:rsidRDefault="00C27E82" w:rsidP="0042329F">
            <w:pPr>
              <w:pStyle w:val="TableHeading"/>
              <w:rPr>
                <w:i/>
              </w:rPr>
            </w:pPr>
            <w:r w:rsidRPr="00133ADD">
              <w:rPr>
                <w:i/>
              </w:rPr>
              <w:t>n</w:t>
            </w:r>
          </w:p>
        </w:tc>
        <w:tc>
          <w:tcPr>
            <w:tcW w:w="1746" w:type="dxa"/>
            <w:tcBorders>
              <w:top w:val="nil"/>
              <w:left w:val="nil"/>
              <w:bottom w:val="single" w:sz="4" w:space="0" w:color="auto"/>
              <w:right w:val="nil"/>
            </w:tcBorders>
          </w:tcPr>
          <w:p w:rsidR="00C27E82" w:rsidRPr="00133ADD" w:rsidRDefault="00C27E82" w:rsidP="0042329F">
            <w:pPr>
              <w:pStyle w:val="TableHeading"/>
              <w:rPr>
                <w:i/>
              </w:rPr>
            </w:pPr>
            <w:r w:rsidRPr="00133ADD">
              <w:rPr>
                <w:i/>
              </w:rPr>
              <w:t>x</w:t>
            </w:r>
          </w:p>
        </w:tc>
        <w:tc>
          <w:tcPr>
            <w:tcW w:w="1745" w:type="dxa"/>
            <w:tcBorders>
              <w:top w:val="nil"/>
              <w:left w:val="nil"/>
              <w:bottom w:val="single" w:sz="4" w:space="0" w:color="auto"/>
              <w:right w:val="nil"/>
            </w:tcBorders>
          </w:tcPr>
          <w:p w:rsidR="00C27E82" w:rsidRPr="00133ADD" w:rsidRDefault="00C27E82" w:rsidP="0042329F">
            <w:pPr>
              <w:pStyle w:val="TableHeading"/>
              <w:rPr>
                <w:i/>
              </w:rPr>
            </w:pPr>
            <w:r w:rsidRPr="00133ADD">
              <w:rPr>
                <w:i/>
              </w:rPr>
              <w:t>y</w:t>
            </w:r>
          </w:p>
        </w:tc>
      </w:tr>
      <w:tr w:rsidR="00C27E82" w:rsidTr="0042329F">
        <w:trPr>
          <w:trHeight w:val="332"/>
          <w:jc w:val="center"/>
        </w:trPr>
        <w:tc>
          <w:tcPr>
            <w:tcW w:w="1745" w:type="dxa"/>
            <w:tcBorders>
              <w:top w:val="nil"/>
              <w:left w:val="nil"/>
              <w:bottom w:val="nil"/>
              <w:right w:val="nil"/>
            </w:tcBorders>
          </w:tcPr>
          <w:p w:rsidR="00C27E82" w:rsidRDefault="00C27E82" w:rsidP="0042329F">
            <w:pPr>
              <w:pStyle w:val="TableBody"/>
            </w:pPr>
            <w:r>
              <w:t>1</w:t>
            </w:r>
          </w:p>
        </w:tc>
        <w:tc>
          <w:tcPr>
            <w:tcW w:w="1746" w:type="dxa"/>
            <w:tcBorders>
              <w:top w:val="nil"/>
              <w:left w:val="nil"/>
              <w:bottom w:val="nil"/>
              <w:right w:val="nil"/>
            </w:tcBorders>
          </w:tcPr>
          <w:p w:rsidR="00C27E82" w:rsidRDefault="00C27E82" w:rsidP="0042329F">
            <w:pPr>
              <w:pStyle w:val="TableBody"/>
            </w:pPr>
            <w:r>
              <w:t>186</w:t>
            </w:r>
          </w:p>
        </w:tc>
        <w:tc>
          <w:tcPr>
            <w:tcW w:w="1745" w:type="dxa"/>
            <w:tcBorders>
              <w:top w:val="nil"/>
              <w:left w:val="nil"/>
              <w:bottom w:val="nil"/>
              <w:right w:val="nil"/>
            </w:tcBorders>
          </w:tcPr>
          <w:p w:rsidR="00C27E82" w:rsidRDefault="00C27E82" w:rsidP="0042329F">
            <w:pPr>
              <w:pStyle w:val="TableBody"/>
            </w:pPr>
            <w:r>
              <w:t>15.0</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2</w:t>
            </w:r>
          </w:p>
        </w:tc>
        <w:tc>
          <w:tcPr>
            <w:tcW w:w="1746" w:type="dxa"/>
            <w:tcBorders>
              <w:top w:val="nil"/>
              <w:left w:val="nil"/>
              <w:bottom w:val="nil"/>
              <w:right w:val="nil"/>
            </w:tcBorders>
          </w:tcPr>
          <w:p w:rsidR="00C27E82" w:rsidRDefault="00C27E82" w:rsidP="0042329F">
            <w:pPr>
              <w:pStyle w:val="TableBody"/>
            </w:pPr>
            <w:r>
              <w:t>699</w:t>
            </w:r>
          </w:p>
        </w:tc>
        <w:tc>
          <w:tcPr>
            <w:tcW w:w="1745" w:type="dxa"/>
            <w:tcBorders>
              <w:top w:val="nil"/>
              <w:left w:val="nil"/>
              <w:bottom w:val="nil"/>
              <w:right w:val="nil"/>
            </w:tcBorders>
          </w:tcPr>
          <w:p w:rsidR="00C27E82" w:rsidRDefault="00C27E82" w:rsidP="0042329F">
            <w:pPr>
              <w:pStyle w:val="TableBody"/>
            </w:pPr>
            <w:r>
              <w:t>69.9</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3</w:t>
            </w:r>
          </w:p>
        </w:tc>
        <w:tc>
          <w:tcPr>
            <w:tcW w:w="1746" w:type="dxa"/>
            <w:tcBorders>
              <w:top w:val="nil"/>
              <w:left w:val="nil"/>
              <w:bottom w:val="nil"/>
              <w:right w:val="nil"/>
            </w:tcBorders>
          </w:tcPr>
          <w:p w:rsidR="00C27E82" w:rsidRDefault="00C27E82" w:rsidP="0042329F">
            <w:pPr>
              <w:pStyle w:val="TableBody"/>
            </w:pPr>
            <w:r>
              <w:t>132</w:t>
            </w:r>
          </w:p>
        </w:tc>
        <w:tc>
          <w:tcPr>
            <w:tcW w:w="1745" w:type="dxa"/>
            <w:tcBorders>
              <w:top w:val="nil"/>
              <w:left w:val="nil"/>
              <w:bottom w:val="nil"/>
              <w:right w:val="nil"/>
            </w:tcBorders>
          </w:tcPr>
          <w:p w:rsidR="00C27E82" w:rsidRDefault="00C27E82" w:rsidP="0042329F">
            <w:pPr>
              <w:pStyle w:val="TableBody"/>
            </w:pPr>
            <w:r>
              <w:t>6.5</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4</w:t>
            </w:r>
          </w:p>
        </w:tc>
        <w:tc>
          <w:tcPr>
            <w:tcW w:w="1746" w:type="dxa"/>
            <w:tcBorders>
              <w:top w:val="nil"/>
              <w:left w:val="nil"/>
              <w:bottom w:val="nil"/>
              <w:right w:val="nil"/>
            </w:tcBorders>
          </w:tcPr>
          <w:p w:rsidR="00C27E82" w:rsidRDefault="00C27E82" w:rsidP="0042329F">
            <w:pPr>
              <w:pStyle w:val="TableBody"/>
            </w:pPr>
            <w:r>
              <w:t>272</w:t>
            </w:r>
          </w:p>
        </w:tc>
        <w:tc>
          <w:tcPr>
            <w:tcW w:w="1745" w:type="dxa"/>
            <w:tcBorders>
              <w:top w:val="nil"/>
              <w:left w:val="nil"/>
              <w:bottom w:val="nil"/>
              <w:right w:val="nil"/>
            </w:tcBorders>
          </w:tcPr>
          <w:p w:rsidR="00C27E82" w:rsidRDefault="00C27E82" w:rsidP="0042329F">
            <w:pPr>
              <w:pStyle w:val="TableBody"/>
            </w:pPr>
            <w:r>
              <w:t>22.4</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5</w:t>
            </w:r>
          </w:p>
        </w:tc>
        <w:tc>
          <w:tcPr>
            <w:tcW w:w="1746" w:type="dxa"/>
            <w:tcBorders>
              <w:top w:val="nil"/>
              <w:left w:val="nil"/>
              <w:bottom w:val="nil"/>
              <w:right w:val="nil"/>
            </w:tcBorders>
          </w:tcPr>
          <w:p w:rsidR="00C27E82" w:rsidRDefault="00C27E82" w:rsidP="0042329F">
            <w:pPr>
              <w:pStyle w:val="TableBody"/>
            </w:pPr>
            <w:r>
              <w:t>291</w:t>
            </w:r>
          </w:p>
        </w:tc>
        <w:tc>
          <w:tcPr>
            <w:tcW w:w="1745" w:type="dxa"/>
            <w:tcBorders>
              <w:top w:val="nil"/>
              <w:left w:val="nil"/>
              <w:bottom w:val="nil"/>
              <w:right w:val="nil"/>
            </w:tcBorders>
          </w:tcPr>
          <w:p w:rsidR="00C27E82" w:rsidRDefault="00C27E82" w:rsidP="0042329F">
            <w:pPr>
              <w:pStyle w:val="TableBody"/>
            </w:pPr>
            <w:r>
              <w:t>28.4</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6</w:t>
            </w:r>
          </w:p>
        </w:tc>
        <w:tc>
          <w:tcPr>
            <w:tcW w:w="1746" w:type="dxa"/>
            <w:tcBorders>
              <w:top w:val="nil"/>
              <w:left w:val="nil"/>
              <w:bottom w:val="nil"/>
              <w:right w:val="nil"/>
            </w:tcBorders>
          </w:tcPr>
          <w:p w:rsidR="00C27E82" w:rsidRDefault="00C27E82" w:rsidP="0042329F">
            <w:pPr>
              <w:pStyle w:val="TableBody"/>
            </w:pPr>
            <w:r>
              <w:t>331</w:t>
            </w:r>
          </w:p>
        </w:tc>
        <w:tc>
          <w:tcPr>
            <w:tcW w:w="1745" w:type="dxa"/>
            <w:tcBorders>
              <w:top w:val="nil"/>
              <w:left w:val="nil"/>
              <w:bottom w:val="nil"/>
              <w:right w:val="nil"/>
            </w:tcBorders>
          </w:tcPr>
          <w:p w:rsidR="00C27E82" w:rsidRDefault="00C27E82" w:rsidP="0042329F">
            <w:pPr>
              <w:pStyle w:val="TableBody"/>
            </w:pPr>
            <w:r>
              <w:t>65.9</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7</w:t>
            </w:r>
          </w:p>
        </w:tc>
        <w:tc>
          <w:tcPr>
            <w:tcW w:w="1746" w:type="dxa"/>
            <w:tcBorders>
              <w:top w:val="nil"/>
              <w:left w:val="nil"/>
              <w:bottom w:val="nil"/>
              <w:right w:val="nil"/>
            </w:tcBorders>
          </w:tcPr>
          <w:p w:rsidR="00C27E82" w:rsidRDefault="00C27E82" w:rsidP="0042329F">
            <w:pPr>
              <w:pStyle w:val="TableBody"/>
            </w:pPr>
            <w:r>
              <w:t>199</w:t>
            </w:r>
          </w:p>
        </w:tc>
        <w:tc>
          <w:tcPr>
            <w:tcW w:w="1745" w:type="dxa"/>
            <w:tcBorders>
              <w:top w:val="nil"/>
              <w:left w:val="nil"/>
              <w:bottom w:val="nil"/>
              <w:right w:val="nil"/>
            </w:tcBorders>
          </w:tcPr>
          <w:p w:rsidR="00C27E82" w:rsidRDefault="00C27E82" w:rsidP="0042329F">
            <w:pPr>
              <w:pStyle w:val="TableBody"/>
            </w:pPr>
            <w:r>
              <w:t>19.4</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8</w:t>
            </w:r>
          </w:p>
        </w:tc>
        <w:tc>
          <w:tcPr>
            <w:tcW w:w="1746" w:type="dxa"/>
            <w:tcBorders>
              <w:top w:val="nil"/>
              <w:left w:val="nil"/>
              <w:bottom w:val="nil"/>
              <w:right w:val="nil"/>
            </w:tcBorders>
          </w:tcPr>
          <w:p w:rsidR="00C27E82" w:rsidRDefault="00C27E82" w:rsidP="0042329F">
            <w:pPr>
              <w:pStyle w:val="TableBody"/>
            </w:pPr>
            <w:r>
              <w:t>1890</w:t>
            </w:r>
          </w:p>
        </w:tc>
        <w:tc>
          <w:tcPr>
            <w:tcW w:w="1745" w:type="dxa"/>
            <w:tcBorders>
              <w:top w:val="nil"/>
              <w:left w:val="nil"/>
              <w:bottom w:val="nil"/>
              <w:right w:val="nil"/>
            </w:tcBorders>
          </w:tcPr>
          <w:p w:rsidR="00C27E82" w:rsidRDefault="00C27E82" w:rsidP="0042329F">
            <w:pPr>
              <w:pStyle w:val="TableBody"/>
            </w:pPr>
            <w:r>
              <w:t>198.7</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9</w:t>
            </w:r>
          </w:p>
        </w:tc>
        <w:tc>
          <w:tcPr>
            <w:tcW w:w="1746" w:type="dxa"/>
            <w:tcBorders>
              <w:top w:val="nil"/>
              <w:left w:val="nil"/>
              <w:bottom w:val="nil"/>
              <w:right w:val="nil"/>
            </w:tcBorders>
          </w:tcPr>
          <w:p w:rsidR="00C27E82" w:rsidRDefault="00C27E82" w:rsidP="0042329F">
            <w:pPr>
              <w:pStyle w:val="TableBody"/>
            </w:pPr>
            <w:r>
              <w:t>788</w:t>
            </w:r>
          </w:p>
        </w:tc>
        <w:tc>
          <w:tcPr>
            <w:tcW w:w="1745" w:type="dxa"/>
            <w:tcBorders>
              <w:top w:val="nil"/>
              <w:left w:val="nil"/>
              <w:bottom w:val="nil"/>
              <w:right w:val="nil"/>
            </w:tcBorders>
          </w:tcPr>
          <w:p w:rsidR="00C27E82" w:rsidRDefault="00C27E82" w:rsidP="0042329F">
            <w:pPr>
              <w:pStyle w:val="TableBody"/>
            </w:pPr>
            <w:r>
              <w:t>38.8</w:t>
            </w:r>
          </w:p>
        </w:tc>
      </w:tr>
      <w:tr w:rsidR="00C27E82" w:rsidTr="0042329F">
        <w:trPr>
          <w:jc w:val="center"/>
        </w:trPr>
        <w:tc>
          <w:tcPr>
            <w:tcW w:w="1745" w:type="dxa"/>
            <w:tcBorders>
              <w:top w:val="nil"/>
              <w:left w:val="nil"/>
              <w:bottom w:val="nil"/>
              <w:right w:val="nil"/>
            </w:tcBorders>
          </w:tcPr>
          <w:p w:rsidR="00C27E82" w:rsidRDefault="00C27E82" w:rsidP="0042329F">
            <w:pPr>
              <w:pStyle w:val="TableBody"/>
            </w:pPr>
            <w:r>
              <w:t>10</w:t>
            </w:r>
          </w:p>
        </w:tc>
        <w:tc>
          <w:tcPr>
            <w:tcW w:w="1746" w:type="dxa"/>
            <w:tcBorders>
              <w:top w:val="nil"/>
              <w:left w:val="nil"/>
              <w:bottom w:val="nil"/>
              <w:right w:val="nil"/>
            </w:tcBorders>
          </w:tcPr>
          <w:p w:rsidR="00C27E82" w:rsidRDefault="00C27E82" w:rsidP="0042329F">
            <w:pPr>
              <w:pStyle w:val="TableBody"/>
            </w:pPr>
            <w:r>
              <w:t>1601</w:t>
            </w:r>
          </w:p>
        </w:tc>
        <w:tc>
          <w:tcPr>
            <w:tcW w:w="1745" w:type="dxa"/>
            <w:tcBorders>
              <w:top w:val="nil"/>
              <w:left w:val="nil"/>
              <w:bottom w:val="nil"/>
              <w:right w:val="nil"/>
            </w:tcBorders>
          </w:tcPr>
          <w:p w:rsidR="00C27E82" w:rsidRDefault="00C27E82" w:rsidP="0042329F">
            <w:pPr>
              <w:pStyle w:val="TableBody"/>
            </w:pPr>
            <w:r>
              <w:t>138.2</w:t>
            </w:r>
          </w:p>
        </w:tc>
      </w:tr>
      <w:tr w:rsidR="00C27E82" w:rsidTr="0042329F">
        <w:trPr>
          <w:trHeight w:val="342"/>
          <w:jc w:val="center"/>
        </w:trPr>
        <w:tc>
          <w:tcPr>
            <w:tcW w:w="1745" w:type="dxa"/>
            <w:tcBorders>
              <w:top w:val="single" w:sz="4" w:space="0" w:color="auto"/>
              <w:left w:val="nil"/>
              <w:bottom w:val="nil"/>
              <w:right w:val="nil"/>
            </w:tcBorders>
          </w:tcPr>
          <w:p w:rsidR="00C27E82" w:rsidRDefault="00C27E82" w:rsidP="0042329F">
            <w:pPr>
              <w:pStyle w:val="TableBody"/>
            </w:pPr>
            <w:r>
              <w:t>Totals</w:t>
            </w:r>
          </w:p>
        </w:tc>
        <w:tc>
          <w:tcPr>
            <w:tcW w:w="1746" w:type="dxa"/>
            <w:tcBorders>
              <w:top w:val="single" w:sz="4" w:space="0" w:color="auto"/>
              <w:left w:val="nil"/>
              <w:bottom w:val="nil"/>
              <w:right w:val="nil"/>
            </w:tcBorders>
          </w:tcPr>
          <w:p w:rsidR="00C27E82" w:rsidRDefault="00C27E82" w:rsidP="0042329F">
            <w:pPr>
              <w:pStyle w:val="TableBody"/>
            </w:pPr>
            <w:r>
              <w:fldChar w:fldCharType="begin"/>
            </w:r>
            <w:r>
              <w:instrText xml:space="preserve"> =SUM(ABOVE) </w:instrText>
            </w:r>
            <w:r>
              <w:fldChar w:fldCharType="separate"/>
            </w:r>
            <w:r>
              <w:rPr>
                <w:noProof/>
              </w:rPr>
              <w:t>6389</w:t>
            </w:r>
            <w:r>
              <w:fldChar w:fldCharType="end"/>
            </w:r>
          </w:p>
        </w:tc>
        <w:tc>
          <w:tcPr>
            <w:tcW w:w="1745" w:type="dxa"/>
            <w:tcBorders>
              <w:top w:val="single" w:sz="4" w:space="0" w:color="auto"/>
              <w:left w:val="nil"/>
              <w:bottom w:val="nil"/>
              <w:right w:val="nil"/>
            </w:tcBorders>
          </w:tcPr>
          <w:p w:rsidR="00C27E82" w:rsidRDefault="00C27E82" w:rsidP="0042329F">
            <w:pPr>
              <w:pStyle w:val="TableBody"/>
            </w:pPr>
            <w:r>
              <w:fldChar w:fldCharType="begin"/>
            </w:r>
            <w:r>
              <w:instrText xml:space="preserve"> =SUM(ABOVE) </w:instrText>
            </w:r>
            <w:r>
              <w:fldChar w:fldCharType="separate"/>
            </w:r>
            <w:r>
              <w:rPr>
                <w:noProof/>
              </w:rPr>
              <w:t>603.2</w:t>
            </w:r>
            <w:r>
              <w:fldChar w:fldCharType="end"/>
            </w:r>
          </w:p>
        </w:tc>
      </w:tr>
    </w:tbl>
    <w:p w:rsidR="0042329F" w:rsidRPr="0042329F" w:rsidRDefault="0042329F" w:rsidP="0042329F">
      <w:pPr>
        <w:pStyle w:val="Body"/>
      </w:pPr>
      <w:r w:rsidRPr="0042329F">
        <w:t>Also using Program 9E, determine the correlation and significance between actual N&amp;C and actual development time and estimated N&amp;C and development time for your assignments to date.</w:t>
      </w:r>
    </w:p>
    <w:p w:rsidR="0042329F" w:rsidRPr="0042329F" w:rsidRDefault="0042329F" w:rsidP="0042329F">
      <w:pPr>
        <w:pStyle w:val="Body"/>
        <w:spacing w:after="240"/>
      </w:pPr>
      <w:r w:rsidRPr="0042329F">
        <w:t>Prepare and submit a test report that includes these data and uses the format in Table D13 (p. 759).</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324"/>
        <w:gridCol w:w="706"/>
        <w:gridCol w:w="706"/>
        <w:gridCol w:w="882"/>
        <w:gridCol w:w="279"/>
        <w:gridCol w:w="270"/>
        <w:gridCol w:w="843"/>
      </w:tblGrid>
      <w:tr w:rsidR="00C27E82" w:rsidTr="0042329F">
        <w:trPr>
          <w:jc w:val="center"/>
        </w:trPr>
        <w:tc>
          <w:tcPr>
            <w:tcW w:w="0" w:type="auto"/>
          </w:tcPr>
          <w:p w:rsidR="00C27E82" w:rsidRPr="00133ADD" w:rsidRDefault="00C27E82" w:rsidP="0042329F">
            <w:pPr>
              <w:pStyle w:val="TableHeading"/>
            </w:pPr>
            <w:r w:rsidRPr="00133ADD">
              <w:lastRenderedPageBreak/>
              <w:t>Test</w:t>
            </w:r>
          </w:p>
        </w:tc>
        <w:tc>
          <w:tcPr>
            <w:tcW w:w="0" w:type="auto"/>
            <w:gridSpan w:val="3"/>
          </w:tcPr>
          <w:p w:rsidR="00C27E82" w:rsidRPr="00133ADD" w:rsidRDefault="00C27E82" w:rsidP="0042329F">
            <w:pPr>
              <w:pStyle w:val="TableHeading"/>
            </w:pPr>
            <w:r w:rsidRPr="00133ADD">
              <w:t>Expected Value</w:t>
            </w:r>
          </w:p>
        </w:tc>
        <w:tc>
          <w:tcPr>
            <w:tcW w:w="0" w:type="auto"/>
            <w:gridSpan w:val="3"/>
          </w:tcPr>
          <w:p w:rsidR="00C27E82" w:rsidRPr="00133ADD" w:rsidRDefault="00C27E82" w:rsidP="0042329F">
            <w:pPr>
              <w:pStyle w:val="TableHeading"/>
            </w:pPr>
            <w:r w:rsidRPr="00133ADD">
              <w:t>Actual Value</w:t>
            </w:r>
          </w:p>
        </w:tc>
      </w:tr>
      <w:tr w:rsidR="00816B0D" w:rsidTr="0042329F">
        <w:trPr>
          <w:jc w:val="center"/>
        </w:trPr>
        <w:tc>
          <w:tcPr>
            <w:tcW w:w="0" w:type="auto"/>
          </w:tcPr>
          <w:p w:rsidR="00C27E82" w:rsidRPr="00133ADD" w:rsidRDefault="00C27E82" w:rsidP="0042329F">
            <w:pPr>
              <w:pStyle w:val="TableHeading"/>
            </w:pPr>
          </w:p>
        </w:tc>
        <w:tc>
          <w:tcPr>
            <w:tcW w:w="0" w:type="auto"/>
          </w:tcPr>
          <w:p w:rsidR="00C27E82" w:rsidRPr="00133ADD" w:rsidRDefault="00C27E82" w:rsidP="0042329F">
            <w:pPr>
              <w:pStyle w:val="TableHeading"/>
              <w:rPr>
                <w:i/>
              </w:rPr>
            </w:pPr>
            <w:r w:rsidRPr="00133ADD">
              <w:rPr>
                <w:i/>
              </w:rPr>
              <w:t>r</w:t>
            </w:r>
          </w:p>
        </w:tc>
        <w:tc>
          <w:tcPr>
            <w:tcW w:w="0" w:type="auto"/>
          </w:tcPr>
          <w:p w:rsidR="00C27E82" w:rsidRPr="00133ADD" w:rsidRDefault="00C27E82" w:rsidP="0042329F">
            <w:pPr>
              <w:pStyle w:val="TableHeading"/>
              <w:rPr>
                <w:i/>
              </w:rPr>
            </w:pPr>
            <w:r w:rsidRPr="00133ADD">
              <w:rPr>
                <w:i/>
              </w:rPr>
              <w:t>t</w:t>
            </w:r>
          </w:p>
        </w:tc>
        <w:tc>
          <w:tcPr>
            <w:tcW w:w="0" w:type="auto"/>
          </w:tcPr>
          <w:p w:rsidR="00C27E82" w:rsidRPr="00133ADD" w:rsidRDefault="00C27E82" w:rsidP="0042329F">
            <w:pPr>
              <w:pStyle w:val="TableHeading"/>
            </w:pPr>
            <w:r w:rsidRPr="00133ADD">
              <w:t>2*(1</w:t>
            </w:r>
            <w:r w:rsidR="00133ADD" w:rsidRPr="00133ADD">
              <w:t xml:space="preserve"> − </w:t>
            </w:r>
            <w:r w:rsidRPr="00133ADD">
              <w:rPr>
                <w:i/>
              </w:rPr>
              <w:t>p</w:t>
            </w:r>
            <w:r w:rsidRPr="00133ADD">
              <w:t>)</w:t>
            </w:r>
          </w:p>
        </w:tc>
        <w:tc>
          <w:tcPr>
            <w:tcW w:w="0" w:type="auto"/>
          </w:tcPr>
          <w:p w:rsidR="00C27E82" w:rsidRPr="00133ADD" w:rsidRDefault="00C27E82" w:rsidP="0042329F">
            <w:pPr>
              <w:pStyle w:val="TableHeading"/>
              <w:rPr>
                <w:i/>
              </w:rPr>
            </w:pPr>
            <w:r w:rsidRPr="00133ADD">
              <w:rPr>
                <w:i/>
              </w:rPr>
              <w:t>r</w:t>
            </w:r>
          </w:p>
        </w:tc>
        <w:tc>
          <w:tcPr>
            <w:tcW w:w="0" w:type="auto"/>
          </w:tcPr>
          <w:p w:rsidR="00C27E82" w:rsidRPr="00133ADD" w:rsidRDefault="00C27E82" w:rsidP="0042329F">
            <w:pPr>
              <w:pStyle w:val="TableHeading"/>
              <w:rPr>
                <w:i/>
              </w:rPr>
            </w:pPr>
            <w:r w:rsidRPr="00133ADD">
              <w:rPr>
                <w:i/>
              </w:rPr>
              <w:t>t</w:t>
            </w:r>
          </w:p>
        </w:tc>
        <w:tc>
          <w:tcPr>
            <w:tcW w:w="0" w:type="auto"/>
          </w:tcPr>
          <w:p w:rsidR="00C27E82" w:rsidRPr="00133ADD" w:rsidRDefault="00133ADD" w:rsidP="0042329F">
            <w:pPr>
              <w:pStyle w:val="TableHeading"/>
              <w:rPr>
                <w:i/>
              </w:rPr>
            </w:pPr>
            <w:r w:rsidRPr="00133ADD">
              <w:t xml:space="preserve">2*(1 − </w:t>
            </w:r>
            <w:r w:rsidRPr="00133ADD">
              <w:rPr>
                <w:i/>
              </w:rPr>
              <w:t>p</w:t>
            </w:r>
            <w:r w:rsidRPr="00133ADD">
              <w:t>)</w:t>
            </w:r>
          </w:p>
        </w:tc>
      </w:tr>
      <w:tr w:rsidR="00816B0D" w:rsidTr="0042329F">
        <w:trPr>
          <w:jc w:val="center"/>
        </w:trPr>
        <w:tc>
          <w:tcPr>
            <w:tcW w:w="0" w:type="auto"/>
          </w:tcPr>
          <w:p w:rsidR="00C27E82" w:rsidRDefault="00C27E82" w:rsidP="0042329F">
            <w:pPr>
              <w:pStyle w:val="TableBody"/>
              <w:keepNext/>
            </w:pPr>
            <w:r>
              <w:t>Table D12</w:t>
            </w:r>
          </w:p>
        </w:tc>
        <w:tc>
          <w:tcPr>
            <w:tcW w:w="0" w:type="auto"/>
          </w:tcPr>
          <w:p w:rsidR="00C27E82" w:rsidRDefault="00C27E82" w:rsidP="0042329F">
            <w:pPr>
              <w:pStyle w:val="TableBody"/>
              <w:keepNext/>
            </w:pPr>
            <w:r>
              <w:t>0.9543</w:t>
            </w:r>
          </w:p>
        </w:tc>
        <w:tc>
          <w:tcPr>
            <w:tcW w:w="0" w:type="auto"/>
          </w:tcPr>
          <w:p w:rsidR="00C27E82" w:rsidRDefault="00C27E82" w:rsidP="0042329F">
            <w:pPr>
              <w:pStyle w:val="TableBody"/>
              <w:keepNext/>
            </w:pPr>
            <w:r>
              <w:t>9.0335</w:t>
            </w:r>
          </w:p>
        </w:tc>
        <w:tc>
          <w:tcPr>
            <w:tcW w:w="0" w:type="auto"/>
          </w:tcPr>
          <w:p w:rsidR="00C27E82" w:rsidRDefault="00C27E82" w:rsidP="0042329F">
            <w:pPr>
              <w:pStyle w:val="TableBody"/>
              <w:keepNext/>
              <w:rPr>
                <w:vertAlign w:val="superscript"/>
              </w:rPr>
            </w:pPr>
            <w:r>
              <w:t>1.80*10</w:t>
            </w:r>
            <w:r w:rsidR="004B1986">
              <w:rPr>
                <w:vertAlign w:val="superscript"/>
              </w:rPr>
              <w:t>−</w:t>
            </w:r>
            <w:r>
              <w:rPr>
                <w:vertAlign w:val="superscript"/>
              </w:rPr>
              <w:t>5</w:t>
            </w:r>
          </w:p>
        </w:tc>
        <w:tc>
          <w:tcPr>
            <w:tcW w:w="0" w:type="auto"/>
          </w:tcPr>
          <w:p w:rsidR="00C27E82" w:rsidRDefault="00C27E82" w:rsidP="0042329F">
            <w:pPr>
              <w:pStyle w:val="TableBody"/>
              <w:keepNext/>
            </w:pPr>
          </w:p>
        </w:tc>
        <w:tc>
          <w:tcPr>
            <w:tcW w:w="0" w:type="auto"/>
          </w:tcPr>
          <w:p w:rsidR="00C27E82" w:rsidRDefault="00C27E82" w:rsidP="0042329F">
            <w:pPr>
              <w:pStyle w:val="TableBody"/>
              <w:keepNext/>
            </w:pPr>
          </w:p>
        </w:tc>
        <w:tc>
          <w:tcPr>
            <w:tcW w:w="0" w:type="auto"/>
          </w:tcPr>
          <w:p w:rsidR="00C27E82" w:rsidRDefault="00C27E82" w:rsidP="0042329F">
            <w:pPr>
              <w:pStyle w:val="TableBody"/>
              <w:keepNext/>
            </w:pPr>
          </w:p>
        </w:tc>
      </w:tr>
      <w:tr w:rsidR="00816B0D" w:rsidTr="0042329F">
        <w:trPr>
          <w:jc w:val="center"/>
        </w:trPr>
        <w:tc>
          <w:tcPr>
            <w:tcW w:w="0" w:type="auto"/>
          </w:tcPr>
          <w:p w:rsidR="00C27E82" w:rsidRDefault="00C27E82" w:rsidP="0042329F">
            <w:pPr>
              <w:pStyle w:val="TableBody"/>
              <w:keepNext/>
            </w:pPr>
            <w:r>
              <w:t>Actual LOC vs. Dev. Time</w:t>
            </w:r>
          </w:p>
        </w:tc>
        <w:tc>
          <w:tcPr>
            <w:tcW w:w="0" w:type="auto"/>
          </w:tcPr>
          <w:p w:rsidR="00C27E82" w:rsidRDefault="00C27E82" w:rsidP="0042329F">
            <w:pPr>
              <w:pStyle w:val="TableBody"/>
              <w:keepNext/>
            </w:pPr>
            <w:r>
              <w:t>N/A</w:t>
            </w:r>
          </w:p>
        </w:tc>
        <w:tc>
          <w:tcPr>
            <w:tcW w:w="0" w:type="auto"/>
          </w:tcPr>
          <w:p w:rsidR="00C27E82" w:rsidRDefault="00C27E82" w:rsidP="0042329F">
            <w:pPr>
              <w:pStyle w:val="TableBody"/>
              <w:keepNext/>
            </w:pPr>
            <w:r>
              <w:t>NA</w:t>
            </w:r>
          </w:p>
        </w:tc>
        <w:tc>
          <w:tcPr>
            <w:tcW w:w="0" w:type="auto"/>
          </w:tcPr>
          <w:p w:rsidR="00C27E82" w:rsidRDefault="00C27E82" w:rsidP="0042329F">
            <w:pPr>
              <w:pStyle w:val="TableBody"/>
              <w:keepNext/>
            </w:pPr>
            <w:r>
              <w:t>NA</w:t>
            </w:r>
          </w:p>
        </w:tc>
        <w:tc>
          <w:tcPr>
            <w:tcW w:w="0" w:type="auto"/>
          </w:tcPr>
          <w:p w:rsidR="00C27E82" w:rsidRDefault="00C27E82" w:rsidP="0042329F">
            <w:pPr>
              <w:pStyle w:val="TableBody"/>
              <w:keepNext/>
            </w:pPr>
          </w:p>
        </w:tc>
        <w:tc>
          <w:tcPr>
            <w:tcW w:w="0" w:type="auto"/>
          </w:tcPr>
          <w:p w:rsidR="00C27E82" w:rsidRDefault="00C27E82" w:rsidP="0042329F">
            <w:pPr>
              <w:pStyle w:val="TableBody"/>
              <w:keepNext/>
            </w:pPr>
          </w:p>
        </w:tc>
        <w:tc>
          <w:tcPr>
            <w:tcW w:w="0" w:type="auto"/>
          </w:tcPr>
          <w:p w:rsidR="00C27E82" w:rsidRDefault="00C27E82" w:rsidP="0042329F">
            <w:pPr>
              <w:pStyle w:val="TableBody"/>
              <w:keepNext/>
            </w:pPr>
          </w:p>
        </w:tc>
      </w:tr>
      <w:tr w:rsidR="00816B0D" w:rsidTr="0042329F">
        <w:trPr>
          <w:jc w:val="center"/>
        </w:trPr>
        <w:tc>
          <w:tcPr>
            <w:tcW w:w="0" w:type="auto"/>
          </w:tcPr>
          <w:p w:rsidR="00C27E82" w:rsidRDefault="00C27E82" w:rsidP="0042329F">
            <w:pPr>
              <w:pStyle w:val="TableBody"/>
            </w:pPr>
            <w:r>
              <w:t>Estimated LOC vs. Dev. Time</w:t>
            </w:r>
          </w:p>
        </w:tc>
        <w:tc>
          <w:tcPr>
            <w:tcW w:w="0" w:type="auto"/>
          </w:tcPr>
          <w:p w:rsidR="00C27E82" w:rsidRDefault="00C27E82" w:rsidP="0042329F">
            <w:pPr>
              <w:pStyle w:val="TableBody"/>
            </w:pPr>
            <w:r>
              <w:t>NA</w:t>
            </w:r>
          </w:p>
        </w:tc>
        <w:tc>
          <w:tcPr>
            <w:tcW w:w="0" w:type="auto"/>
          </w:tcPr>
          <w:p w:rsidR="00C27E82" w:rsidRDefault="00C27E82" w:rsidP="0042329F">
            <w:pPr>
              <w:pStyle w:val="TableBody"/>
            </w:pPr>
            <w:r>
              <w:t>NA</w:t>
            </w:r>
          </w:p>
        </w:tc>
        <w:tc>
          <w:tcPr>
            <w:tcW w:w="0" w:type="auto"/>
          </w:tcPr>
          <w:p w:rsidR="00C27E82" w:rsidRDefault="00C27E82" w:rsidP="0042329F">
            <w:pPr>
              <w:pStyle w:val="TableBody"/>
            </w:pPr>
            <w:r>
              <w:t>NA</w:t>
            </w:r>
          </w:p>
        </w:tc>
        <w:tc>
          <w:tcPr>
            <w:tcW w:w="0" w:type="auto"/>
          </w:tcPr>
          <w:p w:rsidR="00C27E82" w:rsidRDefault="00C27E82" w:rsidP="0042329F">
            <w:pPr>
              <w:pStyle w:val="TableBody"/>
            </w:pPr>
          </w:p>
        </w:tc>
        <w:tc>
          <w:tcPr>
            <w:tcW w:w="0" w:type="auto"/>
          </w:tcPr>
          <w:p w:rsidR="00C27E82" w:rsidRDefault="00C27E82" w:rsidP="0042329F">
            <w:pPr>
              <w:pStyle w:val="TableBody"/>
            </w:pPr>
          </w:p>
        </w:tc>
        <w:tc>
          <w:tcPr>
            <w:tcW w:w="0" w:type="auto"/>
          </w:tcPr>
          <w:p w:rsidR="00C27E82" w:rsidRDefault="00C27E82" w:rsidP="0042329F">
            <w:pPr>
              <w:pStyle w:val="TableBody"/>
            </w:pPr>
          </w:p>
        </w:tc>
      </w:tr>
    </w:tbl>
    <w:p w:rsidR="00C27E82" w:rsidRDefault="00C27E82" w:rsidP="00816B0D">
      <w:pPr>
        <w:pStyle w:val="Heading1"/>
        <w:spacing w:after="180"/>
      </w:pPr>
      <w:r>
        <w:t>Correlation</w:t>
      </w:r>
    </w:p>
    <w:p w:rsidR="0042329F" w:rsidRDefault="0042329F" w:rsidP="0042329F">
      <w:pPr>
        <w:pStyle w:val="Body"/>
        <w:spacing w:after="240"/>
      </w:pPr>
      <w:r>
        <w:t>Correlation is a measure of the degree to which two variables are linearly related. If two variables are highly related, one variable’s value may be used to predict the other.</w:t>
      </w:r>
    </w:p>
    <w:p w:rsidR="0042329F" w:rsidRDefault="0042329F" w:rsidP="001577DF">
      <w:pPr>
        <w:pStyle w:val="BlockText1"/>
        <w:ind w:left="0"/>
        <w:jc w:val="center"/>
        <w:rPr>
          <w:noProof/>
        </w:rPr>
      </w:pPr>
      <w:r>
        <w:rPr>
          <w:noProof/>
        </w:rPr>
        <w:drawing>
          <wp:inline distT="0" distB="0" distL="0" distR="0" wp14:anchorId="630264A9" wp14:editId="6DDC8F3E">
            <wp:extent cx="2468245" cy="188785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329F" w:rsidRDefault="0042329F" w:rsidP="0042329F">
      <w:pPr>
        <w:pStyle w:val="Heading2"/>
      </w:pPr>
      <w:r w:rsidRPr="00816B0D">
        <w:t>Correlation Example</w:t>
      </w:r>
    </w:p>
    <w:p w:rsidR="0042329F" w:rsidRDefault="0042329F" w:rsidP="0042329F">
      <w:pPr>
        <w:pStyle w:val="Body"/>
        <w:spacing w:before="240" w:after="0"/>
      </w:pPr>
      <w:r>
        <w:t>The following example illustrates correlation using height and weight of ten school children.</w:t>
      </w:r>
    </w:p>
    <w:p w:rsidR="0042329F" w:rsidRDefault="0042329F" w:rsidP="0042329F">
      <w:pPr>
        <w:pStyle w:val="ListBulleted1"/>
      </w:pPr>
      <w:r>
        <w:t>Given: The height and weight of ten school children</w:t>
      </w:r>
    </w:p>
    <w:p w:rsidR="0042329F" w:rsidRDefault="0042329F" w:rsidP="0042329F">
      <w:pPr>
        <w:pStyle w:val="ListBulleted1"/>
      </w:pPr>
      <w:r>
        <w:t>Question: To what degree are these data linearly related?</w:t>
      </w:r>
    </w:p>
    <w:p w:rsidR="0042329F" w:rsidRDefault="0042329F" w:rsidP="0042329F">
      <w:pPr>
        <w:pStyle w:val="Body"/>
        <w:jc w:val="center"/>
      </w:pPr>
      <w:r>
        <w:rPr>
          <w:noProof/>
        </w:rPr>
        <w:lastRenderedPageBreak/>
        <w:drawing>
          <wp:inline distT="0" distB="0" distL="0" distR="0" wp14:anchorId="13EDBA6F" wp14:editId="221600E7">
            <wp:extent cx="3086100" cy="2552700"/>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329F" w:rsidRPr="0042329F" w:rsidRDefault="0042329F" w:rsidP="0042329F">
      <w:pPr>
        <w:pStyle w:val="Body"/>
        <w:spacing w:before="240" w:after="0"/>
      </w:pPr>
      <w:r w:rsidRPr="0042329F">
        <w:t>Using linear regression, we examine the dependency of weight on height.</w:t>
      </w:r>
    </w:p>
    <w:p w:rsidR="0042329F" w:rsidRPr="0042329F" w:rsidRDefault="0042329F" w:rsidP="0042329F">
      <w:pPr>
        <w:pStyle w:val="ListBulleted1"/>
      </w:pPr>
      <w:r w:rsidRPr="0042329F">
        <w:t>Calculate β</w:t>
      </w:r>
      <w:r w:rsidRPr="00861D80">
        <w:rPr>
          <w:vertAlign w:val="subscript"/>
        </w:rPr>
        <w:t>0</w:t>
      </w:r>
      <w:r w:rsidRPr="0042329F">
        <w:t xml:space="preserve"> and β</w:t>
      </w:r>
      <w:r w:rsidRPr="00861D80">
        <w:rPr>
          <w:vertAlign w:val="subscript"/>
        </w:rPr>
        <w:t>1</w:t>
      </w:r>
      <w:r w:rsidRPr="0042329F">
        <w:t xml:space="preserve"> regression parameters.</w:t>
      </w:r>
    </w:p>
    <w:p w:rsidR="0042329F" w:rsidRPr="0042329F" w:rsidRDefault="0042329F" w:rsidP="0042329F">
      <w:pPr>
        <w:pStyle w:val="ListBulleted1"/>
      </w:pPr>
      <w:r w:rsidRPr="0042329F">
        <w:t>Use known heights for the</w:t>
      </w:r>
      <w:r w:rsidRPr="00861D80">
        <w:rPr>
          <w:i/>
        </w:rPr>
        <w:t xml:space="preserve"> x</w:t>
      </w:r>
      <w:r w:rsidRPr="0042329F">
        <w:t xml:space="preserve"> values.</w:t>
      </w:r>
    </w:p>
    <w:p w:rsidR="0042329F" w:rsidRPr="0042329F" w:rsidRDefault="0042329F" w:rsidP="0042329F">
      <w:pPr>
        <w:pStyle w:val="ListBulleted1"/>
      </w:pPr>
      <w:r w:rsidRPr="0042329F">
        <w:t xml:space="preserve">Use corresponding weights for the </w:t>
      </w:r>
      <w:r w:rsidRPr="00861D80">
        <w:rPr>
          <w:i/>
        </w:rPr>
        <w:t>y</w:t>
      </w:r>
      <w:r w:rsidRPr="0042329F">
        <w:t xml:space="preserve"> values.</w:t>
      </w:r>
    </w:p>
    <w:p w:rsidR="0042329F" w:rsidRDefault="0042329F" w:rsidP="0042329F">
      <w:pPr>
        <w:pStyle w:val="ListBulleted1"/>
        <w:spacing w:after="240"/>
        <w:rPr>
          <w:snapToGrid w:val="0"/>
        </w:rPr>
      </w:pPr>
      <w:r>
        <w:t>Draw the regression line</w:t>
      </w:r>
      <w:r w:rsidR="00BD6509">
        <w:t>.</w:t>
      </w:r>
    </w:p>
    <w:p w:rsidR="0042329F" w:rsidRDefault="0042329F" w:rsidP="0042329F">
      <w:pPr>
        <w:pStyle w:val="BlockText1"/>
        <w:tabs>
          <w:tab w:val="left" w:pos="1800"/>
          <w:tab w:val="left" w:pos="3600"/>
        </w:tabs>
        <w:ind w:left="180"/>
        <w:jc w:val="center"/>
        <w:rPr>
          <w:noProof/>
        </w:rPr>
      </w:pPr>
      <w:r>
        <w:rPr>
          <w:noProof/>
        </w:rPr>
        <w:drawing>
          <wp:inline distT="0" distB="0" distL="0" distR="0" wp14:anchorId="412D69D2" wp14:editId="06417735">
            <wp:extent cx="3077845" cy="2552700"/>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329F" w:rsidRPr="0042329F" w:rsidRDefault="0042329F" w:rsidP="0042329F">
      <w:pPr>
        <w:pStyle w:val="Body"/>
        <w:spacing w:after="0"/>
      </w:pPr>
      <w:r w:rsidRPr="0042329F">
        <w:t>Now we examine the opposite dependency of height on weight.</w:t>
      </w:r>
    </w:p>
    <w:p w:rsidR="0042329F" w:rsidRPr="0042329F" w:rsidRDefault="0042329F" w:rsidP="0042329F">
      <w:pPr>
        <w:pStyle w:val="ListBulleted1"/>
      </w:pPr>
      <w:r w:rsidRPr="0042329F">
        <w:t xml:space="preserve">Calculate </w:t>
      </w:r>
      <w:r w:rsidR="00861D80" w:rsidRPr="0042329F">
        <w:t>β</w:t>
      </w:r>
      <w:r w:rsidR="00861D80" w:rsidRPr="00861D80">
        <w:rPr>
          <w:vertAlign w:val="subscript"/>
        </w:rPr>
        <w:t>0</w:t>
      </w:r>
      <w:r w:rsidR="00861D80" w:rsidRPr="0042329F">
        <w:t xml:space="preserve"> and β</w:t>
      </w:r>
      <w:r w:rsidR="00861D80" w:rsidRPr="00861D80">
        <w:rPr>
          <w:vertAlign w:val="subscript"/>
        </w:rPr>
        <w:t>1</w:t>
      </w:r>
      <w:r w:rsidR="00861D80" w:rsidRPr="0042329F">
        <w:t xml:space="preserve"> </w:t>
      </w:r>
      <w:r w:rsidRPr="0042329F">
        <w:t>regression parameters.</w:t>
      </w:r>
    </w:p>
    <w:p w:rsidR="0042329F" w:rsidRPr="0042329F" w:rsidRDefault="0042329F" w:rsidP="0042329F">
      <w:pPr>
        <w:pStyle w:val="ListBulleted1"/>
      </w:pPr>
      <w:r w:rsidRPr="0042329F">
        <w:t xml:space="preserve">Use known weights for the </w:t>
      </w:r>
      <w:r w:rsidRPr="00861D80">
        <w:rPr>
          <w:i/>
        </w:rPr>
        <w:t>x</w:t>
      </w:r>
      <w:r w:rsidRPr="0042329F">
        <w:t xml:space="preserve"> values.</w:t>
      </w:r>
    </w:p>
    <w:p w:rsidR="0042329F" w:rsidRDefault="0042329F" w:rsidP="0042329F">
      <w:pPr>
        <w:pStyle w:val="ListBulleted1"/>
      </w:pPr>
      <w:r>
        <w:t xml:space="preserve">Use corresponding heights for the </w:t>
      </w:r>
      <w:r>
        <w:rPr>
          <w:i/>
        </w:rPr>
        <w:t>y</w:t>
      </w:r>
      <w:r>
        <w:t xml:space="preserve"> values.</w:t>
      </w:r>
    </w:p>
    <w:p w:rsidR="0042329F" w:rsidRDefault="0042329F" w:rsidP="0042329F">
      <w:pPr>
        <w:pStyle w:val="ListBulleted1"/>
        <w:rPr>
          <w:snapToGrid w:val="0"/>
          <w:color w:val="000000"/>
        </w:rPr>
      </w:pPr>
      <w:r>
        <w:t>Draw the regression line.</w:t>
      </w:r>
    </w:p>
    <w:p w:rsidR="0042329F" w:rsidRDefault="0042329F" w:rsidP="0042329F">
      <w:pPr>
        <w:pStyle w:val="BlockText1"/>
        <w:tabs>
          <w:tab w:val="left" w:pos="1800"/>
          <w:tab w:val="left" w:pos="3600"/>
        </w:tabs>
        <w:ind w:left="180"/>
        <w:jc w:val="center"/>
        <w:rPr>
          <w:noProof/>
        </w:rPr>
      </w:pPr>
      <w:r>
        <w:rPr>
          <w:noProof/>
        </w:rPr>
        <w:drawing>
          <wp:inline distT="0" distB="0" distL="0" distR="0" wp14:anchorId="1886DE89" wp14:editId="0913DCAE">
            <wp:extent cx="3086100" cy="2552700"/>
            <wp:effectExtent l="0" t="0" r="0" b="0"/>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329F" w:rsidRDefault="0042329F" w:rsidP="0042329F">
      <w:pPr>
        <w:pStyle w:val="Body"/>
        <w:rPr>
          <w:noProof/>
        </w:rPr>
      </w:pPr>
      <w:r>
        <w:rPr>
          <w:noProof/>
        </w:rPr>
        <w:t>The size of the gap between the scissors formed by the intersection of the two lines illustrates the quality of the correlation.</w:t>
      </w:r>
    </w:p>
    <w:p w:rsidR="0042329F" w:rsidRDefault="0042329F" w:rsidP="0042329F">
      <w:pPr>
        <w:pStyle w:val="Body"/>
      </w:pPr>
      <w:r>
        <w:t>If the correlation is perfect, the lines will coincide.</w:t>
      </w:r>
    </w:p>
    <w:p w:rsidR="0042329F" w:rsidRDefault="0042329F" w:rsidP="0042329F">
      <w:pPr>
        <w:pStyle w:val="Body"/>
        <w:spacing w:after="240"/>
      </w:pPr>
      <w:r>
        <w:t>The weaker the correlation, the wider the gap between the two lines.</w:t>
      </w:r>
    </w:p>
    <w:p w:rsidR="0042329F" w:rsidRDefault="0042329F" w:rsidP="0042329F">
      <w:pPr>
        <w:pStyle w:val="BlockText1"/>
        <w:tabs>
          <w:tab w:val="left" w:pos="1800"/>
          <w:tab w:val="left" w:pos="3600"/>
        </w:tabs>
        <w:ind w:left="180"/>
        <w:jc w:val="center"/>
        <w:rPr>
          <w:noProof/>
        </w:rPr>
      </w:pPr>
      <w:r>
        <w:rPr>
          <w:noProof/>
        </w:rPr>
        <w:drawing>
          <wp:inline distT="0" distB="0" distL="0" distR="0" wp14:anchorId="5A05A772" wp14:editId="25F5AF03">
            <wp:extent cx="3086100" cy="2552700"/>
            <wp:effectExtent l="0" t="0" r="0" b="0"/>
            <wp:docPr id="10" name="Object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2329F" w:rsidRDefault="0042329F" w:rsidP="0042329F">
      <w:pPr>
        <w:pStyle w:val="Heading2"/>
      </w:pPr>
      <w:r w:rsidRPr="00816B0D">
        <w:t>Using Correlation</w:t>
      </w:r>
    </w:p>
    <w:p w:rsidR="0042329F" w:rsidRDefault="0042329F" w:rsidP="00816B0D">
      <w:pPr>
        <w:pStyle w:val="Body"/>
        <w:spacing w:before="240" w:after="0"/>
      </w:pPr>
      <w:r>
        <w:rPr>
          <w:noProof/>
        </w:rPr>
        <w:t xml:space="preserve">The correlation </w:t>
      </w:r>
      <w:r>
        <w:rPr>
          <w:i/>
          <w:noProof/>
        </w:rPr>
        <w:t>r</w:t>
      </w:r>
      <w:r>
        <w:rPr>
          <w:i/>
          <w:noProof/>
          <w:vertAlign w:val="subscript"/>
        </w:rPr>
        <w:t>xy</w:t>
      </w:r>
      <w:r>
        <w:rPr>
          <w:noProof/>
        </w:rPr>
        <w:t xml:space="preserve"> can range from +1 to −1.</w:t>
      </w:r>
    </w:p>
    <w:p w:rsidR="0042329F" w:rsidRDefault="0042329F" w:rsidP="00816B0D">
      <w:pPr>
        <w:pStyle w:val="ListBulleted1"/>
        <w:rPr>
          <w:i/>
        </w:rPr>
      </w:pPr>
      <w:r>
        <w:t xml:space="preserve">Near +1 implies a strong positive relationship: when </w:t>
      </w:r>
      <w:r>
        <w:rPr>
          <w:i/>
        </w:rPr>
        <w:t>x</w:t>
      </w:r>
      <w:r>
        <w:t xml:space="preserve"> increases, so does </w:t>
      </w:r>
      <w:r>
        <w:rPr>
          <w:i/>
        </w:rPr>
        <w:t>y</w:t>
      </w:r>
      <w:r>
        <w:t>.</w:t>
      </w:r>
    </w:p>
    <w:p w:rsidR="0042329F" w:rsidRDefault="0042329F" w:rsidP="00816B0D">
      <w:pPr>
        <w:pStyle w:val="ListBulleted1"/>
      </w:pPr>
      <w:r>
        <w:t xml:space="preserve">Near </w:t>
      </w:r>
      <w:r>
        <w:rPr>
          <w:noProof/>
        </w:rPr>
        <w:t>−</w:t>
      </w:r>
      <w:r>
        <w:t xml:space="preserve">1 implies a strong negative relationship: when </w:t>
      </w:r>
      <w:r>
        <w:rPr>
          <w:i/>
        </w:rPr>
        <w:t>x</w:t>
      </w:r>
      <w:r>
        <w:t xml:space="preserve"> increases, </w:t>
      </w:r>
      <w:r>
        <w:rPr>
          <w:i/>
        </w:rPr>
        <w:t>y</w:t>
      </w:r>
      <w:r>
        <w:t xml:space="preserve"> decreases.</w:t>
      </w:r>
    </w:p>
    <w:p w:rsidR="0042329F" w:rsidRDefault="0042329F" w:rsidP="00816B0D">
      <w:pPr>
        <w:pStyle w:val="ListBulleted1"/>
      </w:pPr>
      <w:r>
        <w:t>Near 0 implies no relationship.</w:t>
      </w:r>
    </w:p>
    <w:p w:rsidR="0042329F" w:rsidRDefault="0042329F" w:rsidP="00816B0D">
      <w:pPr>
        <w:pStyle w:val="Body"/>
      </w:pPr>
      <w:r>
        <w:t>Correlation is used in the PSP to judge the quality of the linear relation of various historic process data that are used for planning.</w:t>
      </w:r>
    </w:p>
    <w:p w:rsidR="0042329F" w:rsidRDefault="0042329F" w:rsidP="00BD6509">
      <w:pPr>
        <w:pStyle w:val="Body"/>
        <w:spacing w:after="240"/>
      </w:pPr>
      <w:r>
        <w:t xml:space="preserve">For this purpose we use the value of the </w:t>
      </w:r>
      <w:r w:rsidRPr="00BD6509">
        <w:t>relation</w:t>
      </w:r>
      <w:r>
        <w:t xml:space="preserve"> </w:t>
      </w:r>
      <w:proofErr w:type="spellStart"/>
      <w:r>
        <w:rPr>
          <w:i/>
        </w:rPr>
        <w:t>r</w:t>
      </w:r>
      <w:r>
        <w:rPr>
          <w:i/>
          <w:vertAlign w:val="subscript"/>
        </w:rPr>
        <w:t>xy</w:t>
      </w:r>
      <w:proofErr w:type="spellEnd"/>
      <w:r>
        <w:rPr>
          <w:i/>
        </w:rPr>
        <w:t xml:space="preserve"> </w:t>
      </w:r>
      <w:r>
        <w:t xml:space="preserve">squared or </w:t>
      </w:r>
      <w:r>
        <w:rPr>
          <w:i/>
        </w:rPr>
        <w:t>r</w:t>
      </w:r>
      <w:r w:rsidRPr="004B1986">
        <w:rPr>
          <w:vertAlign w:val="superscript"/>
        </w:rPr>
        <w:t>2</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
        <w:gridCol w:w="3223"/>
      </w:tblGrid>
      <w:tr w:rsidR="00C27E82" w:rsidTr="00BD6509">
        <w:trPr>
          <w:jc w:val="center"/>
        </w:trPr>
        <w:tc>
          <w:tcPr>
            <w:tcW w:w="0" w:type="auto"/>
            <w:tcBorders>
              <w:top w:val="single" w:sz="4" w:space="0" w:color="auto"/>
              <w:left w:val="single" w:sz="4" w:space="0" w:color="auto"/>
              <w:bottom w:val="nil"/>
              <w:right w:val="single" w:sz="4" w:space="0" w:color="auto"/>
            </w:tcBorders>
          </w:tcPr>
          <w:p w:rsidR="00C27E82" w:rsidRDefault="00C27E82" w:rsidP="00BD6509">
            <w:pPr>
              <w:pStyle w:val="TableHeading"/>
            </w:pPr>
            <w:r>
              <w:t xml:space="preserve">If </w:t>
            </w:r>
            <w:r>
              <w:rPr>
                <w:i/>
              </w:rPr>
              <w:t>r</w:t>
            </w:r>
            <w:r w:rsidRPr="004B1986">
              <w:rPr>
                <w:vertAlign w:val="superscript"/>
              </w:rPr>
              <w:t>2</w:t>
            </w:r>
            <w:r w:rsidRPr="004B1986">
              <w:t xml:space="preserve"> </w:t>
            </w:r>
            <w:r>
              <w:t xml:space="preserve">is </w:t>
            </w:r>
            <w:r>
              <w:sym w:font="Symbol" w:char="F0BC"/>
            </w:r>
          </w:p>
        </w:tc>
        <w:tc>
          <w:tcPr>
            <w:tcW w:w="0" w:type="auto"/>
            <w:tcBorders>
              <w:top w:val="single" w:sz="4" w:space="0" w:color="auto"/>
              <w:left w:val="single" w:sz="4" w:space="0" w:color="auto"/>
              <w:bottom w:val="nil"/>
              <w:right w:val="single" w:sz="4" w:space="0" w:color="auto"/>
            </w:tcBorders>
          </w:tcPr>
          <w:p w:rsidR="00C27E82" w:rsidRDefault="00C27E82" w:rsidP="00BD6509">
            <w:pPr>
              <w:pStyle w:val="TableHeading"/>
            </w:pPr>
            <w:r>
              <w:t xml:space="preserve">the relationship is </w:t>
            </w:r>
            <w:r>
              <w:sym w:font="Symbol" w:char="F0BC"/>
            </w:r>
          </w:p>
        </w:tc>
      </w:tr>
      <w:tr w:rsidR="00C27E82" w:rsidTr="00BD6509">
        <w:trPr>
          <w:jc w:val="center"/>
        </w:trPr>
        <w:tc>
          <w:tcPr>
            <w:tcW w:w="0" w:type="auto"/>
            <w:tcBorders>
              <w:top w:val="single" w:sz="4" w:space="0" w:color="auto"/>
              <w:left w:val="single" w:sz="4" w:space="0" w:color="auto"/>
              <w:bottom w:val="nil"/>
              <w:right w:val="single" w:sz="4" w:space="0" w:color="auto"/>
            </w:tcBorders>
          </w:tcPr>
          <w:p w:rsidR="00C27E82" w:rsidRDefault="00C27E82" w:rsidP="00BD6509">
            <w:pPr>
              <w:pStyle w:val="TableBody"/>
            </w:pPr>
            <w:r>
              <w:t xml:space="preserve">.9 </w:t>
            </w:r>
            <w:r>
              <w:sym w:font="Symbol" w:char="F0A3"/>
            </w:r>
            <w:r>
              <w:t xml:space="preserve"> </w:t>
            </w:r>
            <w:r>
              <w:rPr>
                <w:i/>
              </w:rPr>
              <w:t>r</w:t>
            </w:r>
            <w:r w:rsidRPr="004B1986">
              <w:rPr>
                <w:vertAlign w:val="superscript"/>
              </w:rPr>
              <w:t>2</w:t>
            </w:r>
          </w:p>
        </w:tc>
        <w:tc>
          <w:tcPr>
            <w:tcW w:w="0" w:type="auto"/>
            <w:tcBorders>
              <w:top w:val="single" w:sz="4" w:space="0" w:color="auto"/>
              <w:left w:val="nil"/>
              <w:bottom w:val="nil"/>
              <w:right w:val="single" w:sz="4" w:space="0" w:color="auto"/>
            </w:tcBorders>
          </w:tcPr>
          <w:p w:rsidR="00C27E82" w:rsidRDefault="00C27E82" w:rsidP="00BD6509">
            <w:pPr>
              <w:pStyle w:val="TableBody"/>
            </w:pPr>
            <w:r>
              <w:t>predictive, use it with high confidence</w:t>
            </w:r>
          </w:p>
        </w:tc>
      </w:tr>
      <w:tr w:rsidR="00C27E82" w:rsidTr="00BD6509">
        <w:trPr>
          <w:jc w:val="center"/>
        </w:trPr>
        <w:tc>
          <w:tcPr>
            <w:tcW w:w="0" w:type="auto"/>
            <w:tcBorders>
              <w:top w:val="nil"/>
              <w:left w:val="single" w:sz="4" w:space="0" w:color="auto"/>
              <w:bottom w:val="nil"/>
              <w:right w:val="single" w:sz="4" w:space="0" w:color="auto"/>
            </w:tcBorders>
          </w:tcPr>
          <w:p w:rsidR="00C27E82" w:rsidRDefault="00C27E82" w:rsidP="00BD6509">
            <w:pPr>
              <w:pStyle w:val="TableBody"/>
            </w:pPr>
            <w:r>
              <w:t xml:space="preserve">.7 </w:t>
            </w:r>
            <w:r>
              <w:sym w:font="Symbol" w:char="F0A3"/>
            </w:r>
            <w:r>
              <w:t xml:space="preserve"> </w:t>
            </w:r>
            <w:r>
              <w:rPr>
                <w:i/>
              </w:rPr>
              <w:t>r</w:t>
            </w:r>
            <w:r w:rsidRPr="004B1986">
              <w:rPr>
                <w:vertAlign w:val="superscript"/>
              </w:rPr>
              <w:t>2</w:t>
            </w:r>
            <w:r w:rsidR="00CE646D">
              <w:rPr>
                <w:vertAlign w:val="superscript"/>
              </w:rPr>
              <w:t xml:space="preserve"> </w:t>
            </w:r>
            <w:r>
              <w:rPr>
                <w:i/>
              </w:rPr>
              <w:t>&lt; .9</w:t>
            </w:r>
          </w:p>
        </w:tc>
        <w:tc>
          <w:tcPr>
            <w:tcW w:w="0" w:type="auto"/>
            <w:tcBorders>
              <w:top w:val="nil"/>
              <w:left w:val="nil"/>
              <w:bottom w:val="nil"/>
              <w:right w:val="single" w:sz="4" w:space="0" w:color="auto"/>
            </w:tcBorders>
          </w:tcPr>
          <w:p w:rsidR="00C27E82" w:rsidRDefault="00C27E82" w:rsidP="00BD6509">
            <w:pPr>
              <w:pStyle w:val="TableBody"/>
            </w:pPr>
            <w:r>
              <w:t>strong and can be used for planning</w:t>
            </w:r>
          </w:p>
        </w:tc>
      </w:tr>
      <w:tr w:rsidR="00C27E82" w:rsidTr="00BD6509">
        <w:trPr>
          <w:jc w:val="center"/>
        </w:trPr>
        <w:tc>
          <w:tcPr>
            <w:tcW w:w="0" w:type="auto"/>
            <w:tcBorders>
              <w:top w:val="nil"/>
              <w:left w:val="single" w:sz="4" w:space="0" w:color="auto"/>
              <w:bottom w:val="nil"/>
              <w:right w:val="single" w:sz="4" w:space="0" w:color="auto"/>
            </w:tcBorders>
          </w:tcPr>
          <w:p w:rsidR="00C27E82" w:rsidRDefault="00C27E82" w:rsidP="00BD6509">
            <w:pPr>
              <w:pStyle w:val="TableBody"/>
            </w:pPr>
            <w:r>
              <w:t xml:space="preserve">.5 </w:t>
            </w:r>
            <w:r>
              <w:sym w:font="Symbol" w:char="F0A3"/>
            </w:r>
            <w:r>
              <w:t xml:space="preserve"> </w:t>
            </w:r>
            <w:r>
              <w:rPr>
                <w:i/>
              </w:rPr>
              <w:t>r</w:t>
            </w:r>
            <w:r w:rsidRPr="004B1986">
              <w:rPr>
                <w:vertAlign w:val="superscript"/>
              </w:rPr>
              <w:t>2</w:t>
            </w:r>
            <w:r>
              <w:t xml:space="preserve"> &lt; .7</w:t>
            </w:r>
          </w:p>
        </w:tc>
        <w:tc>
          <w:tcPr>
            <w:tcW w:w="0" w:type="auto"/>
            <w:tcBorders>
              <w:top w:val="nil"/>
              <w:left w:val="nil"/>
              <w:bottom w:val="nil"/>
              <w:right w:val="single" w:sz="4" w:space="0" w:color="auto"/>
            </w:tcBorders>
          </w:tcPr>
          <w:p w:rsidR="00C27E82" w:rsidRDefault="00C27E82" w:rsidP="00BD6509">
            <w:pPr>
              <w:pStyle w:val="TableBody"/>
            </w:pPr>
            <w:r>
              <w:t>adequate for planning but use with caution</w:t>
            </w:r>
          </w:p>
        </w:tc>
      </w:tr>
      <w:tr w:rsidR="00C27E82" w:rsidTr="00BD6509">
        <w:trPr>
          <w:jc w:val="center"/>
        </w:trPr>
        <w:tc>
          <w:tcPr>
            <w:tcW w:w="0" w:type="auto"/>
            <w:tcBorders>
              <w:top w:val="nil"/>
              <w:left w:val="single" w:sz="4" w:space="0" w:color="auto"/>
              <w:bottom w:val="single" w:sz="4" w:space="0" w:color="auto"/>
              <w:right w:val="single" w:sz="4" w:space="0" w:color="auto"/>
            </w:tcBorders>
          </w:tcPr>
          <w:p w:rsidR="00C27E82" w:rsidRDefault="00C27E82" w:rsidP="00BD6509">
            <w:pPr>
              <w:pStyle w:val="TableBody"/>
            </w:pPr>
            <w:r>
              <w:rPr>
                <w:i/>
              </w:rPr>
              <w:t>r</w:t>
            </w:r>
            <w:r w:rsidRPr="004B1986">
              <w:rPr>
                <w:vertAlign w:val="superscript"/>
              </w:rPr>
              <w:t>2</w:t>
            </w:r>
            <w:r>
              <w:rPr>
                <w:i/>
              </w:rPr>
              <w:t xml:space="preserve"> &lt; .5</w:t>
            </w:r>
          </w:p>
        </w:tc>
        <w:tc>
          <w:tcPr>
            <w:tcW w:w="0" w:type="auto"/>
            <w:tcBorders>
              <w:top w:val="nil"/>
              <w:left w:val="nil"/>
              <w:bottom w:val="single" w:sz="4" w:space="0" w:color="auto"/>
              <w:right w:val="single" w:sz="4" w:space="0" w:color="auto"/>
            </w:tcBorders>
          </w:tcPr>
          <w:p w:rsidR="00C27E82" w:rsidRDefault="00C27E82" w:rsidP="00BD6509">
            <w:pPr>
              <w:pStyle w:val="TableBody"/>
            </w:pPr>
            <w:r>
              <w:t>not</w:t>
            </w:r>
            <w:r w:rsidR="004B1986">
              <w:t xml:space="preserve"> reliable for planning purposes</w:t>
            </w:r>
          </w:p>
        </w:tc>
      </w:tr>
    </w:tbl>
    <w:p w:rsidR="00BD6509" w:rsidRDefault="00BD6509" w:rsidP="00BD6509">
      <w:pPr>
        <w:pStyle w:val="Heading2"/>
      </w:pPr>
      <w:r w:rsidRPr="002F19B0">
        <w:t>Limitations of Correlation</w:t>
      </w:r>
    </w:p>
    <w:p w:rsidR="00BD6509" w:rsidRPr="00BD6509" w:rsidRDefault="00BD6509" w:rsidP="00BD6509">
      <w:pPr>
        <w:pStyle w:val="Body"/>
      </w:pPr>
      <w:r w:rsidRPr="00BD6509">
        <w:t>Correlation doesn’t not imply cause and effect.</w:t>
      </w:r>
      <w:r>
        <w:t xml:space="preserve"> </w:t>
      </w:r>
      <w:r w:rsidRPr="00BD6509">
        <w:t>A strong correlation may be coincidental.</w:t>
      </w:r>
      <w:r>
        <w:t xml:space="preserve"> For example, f</w:t>
      </w:r>
      <w:r w:rsidRPr="00BD6509">
        <w:t xml:space="preserve">rom 1840 to 1960, no U.S. president elected in a year ending in 0 survived his presidency.  Coincidence or </w:t>
      </w:r>
      <w:r w:rsidRPr="00BD6509">
        <w:sym w:font="Symbol" w:char="F0BC"/>
      </w:r>
      <w:r w:rsidRPr="00BD6509">
        <w:t>?</w:t>
      </w:r>
    </w:p>
    <w:p w:rsidR="00BD6509" w:rsidRDefault="00BD6509" w:rsidP="00BD6509">
      <w:pPr>
        <w:pStyle w:val="Body"/>
        <w:rPr>
          <w:noProof/>
        </w:rPr>
      </w:pPr>
      <w:r w:rsidRPr="00BD6509">
        <w:t>Many coincidental correlations may be found in historical process data.</w:t>
      </w:r>
      <w:r>
        <w:t xml:space="preserve"> </w:t>
      </w:r>
      <w:r w:rsidRPr="00BD6509">
        <w:t>To use a correlation you must understand the cause-and-effect relationship in the process</w:t>
      </w:r>
      <w:r>
        <w:rPr>
          <w:noProof/>
        </w:rPr>
        <w:t>.</w:t>
      </w:r>
    </w:p>
    <w:p w:rsidR="00BD6509" w:rsidRDefault="00BD6509" w:rsidP="00BD6509">
      <w:pPr>
        <w:pStyle w:val="Heading2"/>
      </w:pPr>
      <w:r w:rsidRPr="002F19B0">
        <w:t>Calculating Correlation</w:t>
      </w:r>
      <w:r w:rsidRPr="002F19B0">
        <w:tab/>
      </w:r>
    </w:p>
    <w:p w:rsidR="00BD6509" w:rsidRDefault="00BD6509" w:rsidP="002F19B0">
      <w:pPr>
        <w:pStyle w:val="Body"/>
      </w:pPr>
      <w:r>
        <w:t xml:space="preserve">The formula for calculating the correlation coefficient </w:t>
      </w:r>
      <w:r>
        <w:rPr>
          <w:i/>
        </w:rPr>
        <w:t>r</w:t>
      </w:r>
      <w:r>
        <w:t xml:space="preserve"> is</w:t>
      </w:r>
    </w:p>
    <w:p w:rsidR="00BD6509" w:rsidRDefault="00BD6509" w:rsidP="001577DF">
      <w:pPr>
        <w:pStyle w:val="BlockText1"/>
        <w:ind w:left="0"/>
      </w:pPr>
      <w:r>
        <w:rPr>
          <w:position w:val="-82"/>
          <w:sz w:val="20"/>
        </w:rPr>
        <w:object w:dxaOrig="4880" w:dyaOrig="1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5pt;height:75pt" o:ole="" fillcolor="window">
            <v:imagedata r:id="rId13" o:title=""/>
          </v:shape>
          <o:OLEObject Type="Embed" ProgID="Equation.3" ShapeID="_x0000_i1025" DrawAspect="Content" ObjectID="_1645433583" r:id="rId14">
            <o:FieldCodes>\* MERGEFORMAT</o:FieldCodes>
          </o:OLEObject>
        </w:object>
      </w:r>
    </w:p>
    <w:p w:rsidR="00BD6509" w:rsidRDefault="00BD6509" w:rsidP="002F19B0">
      <w:pPr>
        <w:pStyle w:val="Body"/>
        <w:spacing w:after="0"/>
      </w:pPr>
      <w:r>
        <w:t>where</w:t>
      </w:r>
    </w:p>
    <w:p w:rsidR="00BD6509" w:rsidRDefault="00BD6509" w:rsidP="002F19B0">
      <w:pPr>
        <w:pStyle w:val="ListBulleted1"/>
      </w:pPr>
      <w:r>
        <w:rPr>
          <w:i/>
        </w:rPr>
        <w:t>x</w:t>
      </w:r>
      <w:r>
        <w:t xml:space="preserve"> and </w:t>
      </w:r>
      <w:r>
        <w:rPr>
          <w:i/>
        </w:rPr>
        <w:t>y</w:t>
      </w:r>
      <w:r>
        <w:t xml:space="preserve"> are the two paired sets of data</w:t>
      </w:r>
    </w:p>
    <w:p w:rsidR="00BD6509" w:rsidRDefault="00BD6509" w:rsidP="00BD6509">
      <w:pPr>
        <w:pStyle w:val="ListBulleted1"/>
      </w:pPr>
      <w:r>
        <w:rPr>
          <w:i/>
        </w:rPr>
        <w:t>n</w:t>
      </w:r>
      <w:r>
        <w:t xml:space="preserve"> is the number of their members</w:t>
      </w:r>
    </w:p>
    <w:p w:rsidR="00C27E82" w:rsidRDefault="00C27E82" w:rsidP="006E0663">
      <w:pPr>
        <w:pStyle w:val="Heading1"/>
        <w:keepNext/>
      </w:pPr>
      <w:r>
        <w:t>Significance</w:t>
      </w:r>
    </w:p>
    <w:p w:rsidR="00BD6509" w:rsidRDefault="00BD6509" w:rsidP="00BD6509">
      <w:pPr>
        <w:pStyle w:val="Heading3"/>
      </w:pPr>
      <w:r w:rsidRPr="0097695E">
        <w:t>The Significance Test</w:t>
      </w:r>
    </w:p>
    <w:p w:rsidR="00BD6509" w:rsidRDefault="00BD6509" w:rsidP="0097695E">
      <w:pPr>
        <w:pStyle w:val="Body"/>
      </w:pPr>
      <w:r>
        <w:t>The significance test determines the likelihood that a strong correlation is random and is therefore of no practical significance.</w:t>
      </w:r>
    </w:p>
    <w:p w:rsidR="00BD6509" w:rsidRDefault="00BD6509" w:rsidP="00BD6509">
      <w:pPr>
        <w:pStyle w:val="Body"/>
        <w:tabs>
          <w:tab w:val="clear" w:pos="216"/>
          <w:tab w:val="left" w:pos="1833"/>
        </w:tabs>
        <w:rPr>
          <w:i/>
        </w:rPr>
      </w:pPr>
      <w:r>
        <w:t xml:space="preserve">For example, a data set with two points will always have an </w:t>
      </w:r>
      <w:r>
        <w:rPr>
          <w:i/>
        </w:rPr>
        <w:t>r</w:t>
      </w:r>
      <w:r w:rsidRPr="004B1986">
        <w:rPr>
          <w:vertAlign w:val="superscript"/>
        </w:rPr>
        <w:t>2</w:t>
      </w:r>
      <w:r w:rsidRPr="004B1986">
        <w:t xml:space="preserve"> </w:t>
      </w:r>
      <w:r>
        <w:t>= 1, but this correlation is not significant.</w:t>
      </w:r>
    </w:p>
    <w:p w:rsidR="00BD6509" w:rsidRDefault="00BD6509" w:rsidP="00BD6509">
      <w:pPr>
        <w:pStyle w:val="Heading2"/>
      </w:pPr>
      <w:r w:rsidRPr="0097695E">
        <w:t>Calculating Significance</w:t>
      </w:r>
    </w:p>
    <w:p w:rsidR="00BD6509" w:rsidRDefault="00BD6509" w:rsidP="0097695E">
      <w:pPr>
        <w:pStyle w:val="Body"/>
      </w:pPr>
      <w:r>
        <w:t xml:space="preserve">The procedure for calculating the correlation significance is as follows: </w:t>
      </w:r>
    </w:p>
    <w:p w:rsidR="00BD6509" w:rsidRDefault="00BD6509" w:rsidP="0097695E">
      <w:pPr>
        <w:pStyle w:val="ListNumbered1"/>
      </w:pPr>
      <w:r>
        <w:t xml:space="preserve">Calculate </w:t>
      </w:r>
      <w:r>
        <w:rPr>
          <w:i/>
        </w:rPr>
        <w:t xml:space="preserve">t </w:t>
      </w:r>
      <w:r>
        <w:t>as</w:t>
      </w:r>
    </w:p>
    <w:p w:rsidR="00BD6509" w:rsidRDefault="00BD6509" w:rsidP="001577DF">
      <w:pPr>
        <w:pStyle w:val="BlockText1"/>
        <w:ind w:left="1440"/>
      </w:pPr>
      <w:r>
        <w:rPr>
          <w:position w:val="-36"/>
          <w:sz w:val="20"/>
        </w:rPr>
        <w:object w:dxaOrig="1780" w:dyaOrig="780">
          <v:shape id="_x0000_i1026" type="#_x0000_t75" style="width:88.5pt;height:39pt" o:ole="" fillcolor="window">
            <v:imagedata r:id="rId15" o:title=""/>
          </v:shape>
          <o:OLEObject Type="Embed" ProgID="Equation.3" ShapeID="_x0000_i1026" DrawAspect="Content" ObjectID="_1645433584" r:id="rId16">
            <o:FieldCodes>\* MERGEFORMAT</o:FieldCodes>
          </o:OLEObject>
        </w:object>
      </w:r>
    </w:p>
    <w:p w:rsidR="00BD6509" w:rsidRDefault="00BD6509" w:rsidP="00BD6509">
      <w:pPr>
        <w:pStyle w:val="ListNumbered1"/>
        <w:numPr>
          <w:ilvl w:val="0"/>
          <w:numId w:val="0"/>
        </w:numPr>
        <w:ind w:left="432"/>
      </w:pPr>
      <w:r>
        <w:t xml:space="preserve">where </w:t>
      </w:r>
      <w:r>
        <w:rPr>
          <w:i/>
        </w:rPr>
        <w:t>r</w:t>
      </w:r>
      <w:r>
        <w:t xml:space="preserve"> is the correlation.</w:t>
      </w:r>
    </w:p>
    <w:p w:rsidR="00BD6509" w:rsidRDefault="00BD6509" w:rsidP="0097695E">
      <w:pPr>
        <w:pStyle w:val="ListNumbered1"/>
      </w:pPr>
      <w:r>
        <w:t xml:space="preserve">Find the probability </w:t>
      </w:r>
      <w:r>
        <w:rPr>
          <w:i/>
        </w:rPr>
        <w:t>p</w:t>
      </w:r>
      <w:r>
        <w:t xml:space="preserve"> by numerically integrating the </w:t>
      </w:r>
      <w:r w:rsidRPr="004B1986">
        <w:rPr>
          <w:i/>
        </w:rPr>
        <w:t>t</w:t>
      </w:r>
      <w:r>
        <w:t xml:space="preserve"> distribution for </w:t>
      </w:r>
      <w:r>
        <w:rPr>
          <w:i/>
        </w:rPr>
        <w:t xml:space="preserve">n − </w:t>
      </w:r>
      <w:r w:rsidRPr="004B1986">
        <w:t>2</w:t>
      </w:r>
      <w:r>
        <w:t xml:space="preserve"> degrees of freedom from </w:t>
      </w:r>
      <w:r>
        <w:rPr>
          <w:i/>
        </w:rPr>
        <w:t>−</w:t>
      </w:r>
      <w:r>
        <w:sym w:font="Symbol" w:char="F0A5"/>
      </w:r>
      <w:r>
        <w:t xml:space="preserve"> to </w:t>
      </w:r>
      <w:r w:rsidRPr="004B1986">
        <w:rPr>
          <w:i/>
        </w:rPr>
        <w:t>t</w:t>
      </w:r>
      <w:r>
        <w:t>.</w:t>
      </w:r>
    </w:p>
    <w:p w:rsidR="00BD6509" w:rsidRDefault="00BD6509" w:rsidP="0097695E">
      <w:pPr>
        <w:pStyle w:val="ListNumbered1"/>
      </w:pPr>
      <w:r>
        <w:t>Calculate the distribution tails,</w:t>
      </w:r>
      <w:r w:rsidR="00861D80">
        <w:t xml:space="preserve"> </w:t>
      </w:r>
      <w:r>
        <w:rPr>
          <w:position w:val="-10"/>
        </w:rPr>
        <w:object w:dxaOrig="980" w:dyaOrig="340">
          <v:shape id="_x0000_i1027" type="#_x0000_t75" style="width:49pt;height:16.5pt" o:ole="" fillcolor="window">
            <v:imagedata r:id="rId17" o:title=""/>
          </v:shape>
          <o:OLEObject Type="Embed" ProgID="Equation.3" ShapeID="_x0000_i1027" DrawAspect="Content" ObjectID="_1645433585" r:id="rId18"/>
        </w:object>
      </w:r>
      <w:r>
        <w:t>.</w:t>
      </w:r>
    </w:p>
    <w:p w:rsidR="00BD6509" w:rsidRDefault="00BD6509" w:rsidP="0097695E">
      <w:pPr>
        <w:pStyle w:val="Body"/>
      </w:pPr>
      <w:r>
        <w:t xml:space="preserve">A tail area </w:t>
      </w:r>
      <w:r>
        <w:sym w:font="Symbol" w:char="F0A3"/>
      </w:r>
      <w:r>
        <w:t xml:space="preserve"> 0.05 is considered strong evidence that there is a relationship.</w:t>
      </w:r>
    </w:p>
    <w:p w:rsidR="00BD6509" w:rsidRDefault="00BD6509" w:rsidP="00BD6509">
      <w:pPr>
        <w:pStyle w:val="Body"/>
        <w:tabs>
          <w:tab w:val="clear" w:pos="216"/>
          <w:tab w:val="left" w:pos="1833"/>
        </w:tabs>
      </w:pPr>
      <w:r>
        <w:t xml:space="preserve">A tail area </w:t>
      </w:r>
      <w:r>
        <w:sym w:font="Symbol" w:char="F0B3"/>
      </w:r>
      <w:r>
        <w:t xml:space="preserve"> 0.2 is considered as good likelihood of finding the relationship by chance.</w:t>
      </w: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713E9B">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9"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20"/>
      <w:footerReference w:type="even" r:id="rId21"/>
      <w:footerReference w:type="default" r:id="rId22"/>
      <w:headerReference w:type="first" r:id="rId23"/>
      <w:footerReference w:type="first" r:id="rId24"/>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861D80">
      <w:rPr>
        <w:rStyle w:val="PageNumber"/>
        <w:rFonts w:cs="Arial"/>
        <w:noProof/>
      </w:rPr>
      <w:t>7</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B16BC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0700E"/>
    <w:multiLevelType w:val="hybridMultilevel"/>
    <w:tmpl w:val="1820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8"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9"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5"/>
  </w:num>
  <w:num w:numId="2">
    <w:abstractNumId w:val="12"/>
  </w:num>
  <w:num w:numId="3">
    <w:abstractNumId w:val="28"/>
  </w:num>
  <w:num w:numId="4">
    <w:abstractNumId w:val="19"/>
  </w:num>
  <w:num w:numId="5">
    <w:abstractNumId w:val="27"/>
  </w:num>
  <w:num w:numId="6">
    <w:abstractNumId w:val="15"/>
  </w:num>
  <w:num w:numId="7">
    <w:abstractNumId w:val="31"/>
  </w:num>
  <w:num w:numId="8">
    <w:abstractNumId w:val="19"/>
    <w:lvlOverride w:ilvl="0">
      <w:startOverride w:val="1"/>
    </w:lvlOverride>
  </w:num>
  <w:num w:numId="9">
    <w:abstractNumId w:val="19"/>
    <w:lvlOverride w:ilvl="0">
      <w:startOverride w:val="1"/>
    </w:lvlOverride>
  </w:num>
  <w:num w:numId="10">
    <w:abstractNumId w:val="33"/>
    <w:lvlOverride w:ilvl="0">
      <w:startOverride w:val="1"/>
    </w:lvlOverride>
  </w:num>
  <w:num w:numId="11">
    <w:abstractNumId w:val="11"/>
  </w:num>
  <w:num w:numId="12">
    <w:abstractNumId w:val="24"/>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1"/>
    <w:lvlOverride w:ilvl="0">
      <w:startOverride w:val="1"/>
    </w:lvlOverride>
  </w:num>
  <w:num w:numId="26">
    <w:abstractNumId w:val="14"/>
  </w:num>
  <w:num w:numId="27">
    <w:abstractNumId w:val="19"/>
    <w:lvlOverride w:ilvl="0">
      <w:startOverride w:val="1"/>
    </w:lvlOverride>
  </w:num>
  <w:num w:numId="28">
    <w:abstractNumId w:val="33"/>
  </w:num>
  <w:num w:numId="29">
    <w:abstractNumId w:val="26"/>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2"/>
  </w:num>
  <w:num w:numId="36">
    <w:abstractNumId w:val="19"/>
    <w:lvlOverride w:ilvl="0">
      <w:startOverride w:val="1"/>
    </w:lvlOverride>
  </w:num>
  <w:num w:numId="37">
    <w:abstractNumId w:val="30"/>
  </w:num>
  <w:num w:numId="38">
    <w:abstractNumId w:val="0"/>
  </w:num>
  <w:num w:numId="39">
    <w:abstractNumId w:val="29"/>
  </w:num>
  <w:num w:numId="40">
    <w:abstractNumId w:val="1"/>
  </w:num>
  <w:num w:numId="41">
    <w:abstractNumId w:val="20"/>
  </w:num>
  <w:num w:numId="42">
    <w:abstractNumId w:val="32"/>
  </w:num>
  <w:num w:numId="43">
    <w:abstractNumId w:val="23"/>
  </w:num>
  <w:num w:numId="44">
    <w:abstractNumId w:val="17"/>
  </w:num>
  <w:num w:numId="45">
    <w:abstractNumId w:val="13"/>
  </w:num>
  <w:num w:numId="46">
    <w:abstractNumId w:val="16"/>
  </w:num>
  <w:num w:numId="47">
    <w:abstractNumId w:val="18"/>
  </w:num>
  <w:num w:numId="4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3ADD"/>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19B0"/>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10B1"/>
    <w:rsid w:val="00423078"/>
    <w:rsid w:val="0042329F"/>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1986"/>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0663"/>
    <w:rsid w:val="006E2671"/>
    <w:rsid w:val="006E4822"/>
    <w:rsid w:val="006E491C"/>
    <w:rsid w:val="006E4C9D"/>
    <w:rsid w:val="006F2C9F"/>
    <w:rsid w:val="006F5562"/>
    <w:rsid w:val="006F68B1"/>
    <w:rsid w:val="007079BF"/>
    <w:rsid w:val="0071209D"/>
    <w:rsid w:val="00713E9B"/>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6B0D"/>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D80"/>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695E"/>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6509"/>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27E82"/>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E646D"/>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B9CE407"/>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27E82"/>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C27E82"/>
    <w:pPr>
      <w:pBdr>
        <w:top w:val="single" w:sz="6" w:space="4" w:color="auto"/>
      </w:pBdr>
      <w:tabs>
        <w:tab w:val="left" w:pos="2250"/>
      </w:tabs>
      <w:spacing w:line="260" w:lineRule="atLeast"/>
      <w:ind w:right="0"/>
      <w:jc w:val="right"/>
    </w:pPr>
    <w:rPr>
      <w:i/>
    </w:rPr>
  </w:style>
  <w:style w:type="paragraph" w:customStyle="1" w:styleId="Bullettext1">
    <w:name w:val="Bullet text 1"/>
    <w:basedOn w:val="BlockText1"/>
    <w:rsid w:val="00C27E82"/>
    <w:pPr>
      <w:keepNext/>
      <w:tabs>
        <w:tab w:val="left" w:pos="2250"/>
      </w:tabs>
      <w:ind w:left="18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oleObject" Target="embeddings/oleObject1.bin"/><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797665369649806"/>
          <c:y val="0.10232558139534884"/>
          <c:w val="0.54474708171206221"/>
          <c:h val="0.6"/>
        </c:manualLayout>
      </c:layout>
      <c:scatterChart>
        <c:scatterStyle val="lineMarker"/>
        <c:varyColors val="0"/>
        <c:ser>
          <c:idx val="0"/>
          <c:order val="0"/>
          <c:spPr>
            <a:ln w="19059">
              <a:noFill/>
            </a:ln>
          </c:spPr>
          <c:marker>
            <c:symbol val="square"/>
            <c:size val="5"/>
            <c:spPr>
              <a:solidFill>
                <a:srgbClr val="FF0000"/>
              </a:solidFill>
              <a:ln>
                <a:solidFill>
                  <a:srgbClr val="000000"/>
                </a:solidFill>
                <a:prstDash val="solid"/>
              </a:ln>
            </c:spPr>
          </c:marker>
          <c:xVal>
            <c:numRef>
              <c:f>Sheet1!$B$2:$B$11</c:f>
              <c:numCache>
                <c:formatCode>General</c:formatCode>
                <c:ptCount val="10"/>
                <c:pt idx="0">
                  <c:v>130</c:v>
                </c:pt>
                <c:pt idx="1">
                  <c:v>650</c:v>
                </c:pt>
                <c:pt idx="2">
                  <c:v>99</c:v>
                </c:pt>
                <c:pt idx="3">
                  <c:v>150</c:v>
                </c:pt>
                <c:pt idx="4">
                  <c:v>128</c:v>
                </c:pt>
                <c:pt idx="5">
                  <c:v>302</c:v>
                </c:pt>
                <c:pt idx="6">
                  <c:v>95</c:v>
                </c:pt>
                <c:pt idx="7">
                  <c:v>945</c:v>
                </c:pt>
                <c:pt idx="8">
                  <c:v>368</c:v>
                </c:pt>
                <c:pt idx="9">
                  <c:v>961</c:v>
                </c:pt>
              </c:numCache>
            </c:numRef>
          </c:xVal>
          <c:yVal>
            <c:numRef>
              <c:f>Sheet1!$C$2:$C$11</c:f>
              <c:numCache>
                <c:formatCode>General</c:formatCode>
                <c:ptCount val="10"/>
                <c:pt idx="0">
                  <c:v>186</c:v>
                </c:pt>
                <c:pt idx="1">
                  <c:v>699</c:v>
                </c:pt>
                <c:pt idx="2">
                  <c:v>132</c:v>
                </c:pt>
                <c:pt idx="3">
                  <c:v>272</c:v>
                </c:pt>
                <c:pt idx="4">
                  <c:v>291</c:v>
                </c:pt>
                <c:pt idx="5">
                  <c:v>331</c:v>
                </c:pt>
                <c:pt idx="6">
                  <c:v>199</c:v>
                </c:pt>
                <c:pt idx="7">
                  <c:v>1890</c:v>
                </c:pt>
                <c:pt idx="8">
                  <c:v>788</c:v>
                </c:pt>
                <c:pt idx="9">
                  <c:v>1601</c:v>
                </c:pt>
              </c:numCache>
            </c:numRef>
          </c:yVal>
          <c:smooth val="0"/>
          <c:extLst>
            <c:ext xmlns:c16="http://schemas.microsoft.com/office/drawing/2014/chart" uri="{C3380CC4-5D6E-409C-BE32-E72D297353CC}">
              <c16:uniqueId val="{00000000-8DBB-4638-A6EE-43333CFC7D90}"/>
            </c:ext>
          </c:extLst>
        </c:ser>
        <c:dLbls>
          <c:showLegendKey val="0"/>
          <c:showVal val="0"/>
          <c:showCatName val="0"/>
          <c:showSerName val="0"/>
          <c:showPercent val="0"/>
          <c:showBubbleSize val="0"/>
        </c:dLbls>
        <c:axId val="492935304"/>
        <c:axId val="492933344"/>
      </c:scatterChart>
      <c:valAx>
        <c:axId val="492935304"/>
        <c:scaling>
          <c:orientation val="minMax"/>
        </c:scaling>
        <c:delete val="0"/>
        <c:axPos val="b"/>
        <c:title>
          <c:tx>
            <c:rich>
              <a:bodyPr/>
              <a:lstStyle/>
              <a:p>
                <a:pPr>
                  <a:defRPr sz="1000" b="1" i="0" u="none" strike="noStrike" baseline="0">
                    <a:solidFill>
                      <a:srgbClr val="000000"/>
                    </a:solidFill>
                    <a:latin typeface="Geneva"/>
                    <a:ea typeface="Geneva"/>
                    <a:cs typeface="Geneva"/>
                  </a:defRPr>
                </a:pPr>
                <a:r>
                  <a:rPr lang="en-US"/>
                  <a:t>Estimated Object LOC       </a:t>
                </a:r>
              </a:p>
            </c:rich>
          </c:tx>
          <c:layout>
            <c:manualLayout>
              <c:xMode val="edge"/>
              <c:yMode val="edge"/>
              <c:x val="0.35019455252918286"/>
              <c:y val="0.8418604651162791"/>
            </c:manualLayout>
          </c:layout>
          <c:overlay val="0"/>
          <c:spPr>
            <a:noFill/>
            <a:ln w="25412">
              <a:noFill/>
            </a:ln>
          </c:spPr>
        </c:title>
        <c:numFmt formatCode="General" sourceLinked="1"/>
        <c:majorTickMark val="cross"/>
        <c:minorTickMark val="none"/>
        <c:tickLblPos val="nextTo"/>
        <c:spPr>
          <a:ln w="3176">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492933344"/>
        <c:crosses val="autoZero"/>
        <c:crossBetween val="midCat"/>
      </c:valAx>
      <c:valAx>
        <c:axId val="492933344"/>
        <c:scaling>
          <c:orientation val="minMax"/>
        </c:scaling>
        <c:delete val="0"/>
        <c:axPos val="l"/>
        <c:title>
          <c:tx>
            <c:rich>
              <a:bodyPr/>
              <a:lstStyle/>
              <a:p>
                <a:pPr>
                  <a:defRPr sz="1000" b="1" i="0" u="none" strike="noStrike" baseline="0">
                    <a:solidFill>
                      <a:srgbClr val="000000"/>
                    </a:solidFill>
                    <a:latin typeface="Geneva"/>
                    <a:ea typeface="Geneva"/>
                    <a:cs typeface="Geneva"/>
                  </a:defRPr>
                </a:pPr>
                <a:r>
                  <a:rPr lang="en-US"/>
                  <a:t>Actual New and Changed LOC</a:t>
                </a:r>
              </a:p>
            </c:rich>
          </c:tx>
          <c:layout>
            <c:manualLayout>
              <c:xMode val="edge"/>
              <c:yMode val="edge"/>
              <c:x val="4.2801556420233464E-2"/>
              <c:y val="1.3953488372093023E-2"/>
            </c:manualLayout>
          </c:layout>
          <c:overlay val="0"/>
          <c:spPr>
            <a:noFill/>
            <a:ln w="25412">
              <a:noFill/>
            </a:ln>
          </c:spPr>
        </c:title>
        <c:numFmt formatCode="General" sourceLinked="1"/>
        <c:majorTickMark val="cross"/>
        <c:minorTickMark val="none"/>
        <c:tickLblPos val="nextTo"/>
        <c:spPr>
          <a:ln w="3176">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492935304"/>
        <c:crosses val="autoZero"/>
        <c:crossBetween val="midCat"/>
      </c:valAx>
      <c:spPr>
        <a:noFill/>
        <a:ln w="25412">
          <a:noFill/>
        </a:ln>
      </c:spPr>
    </c:plotArea>
    <c:plotVisOnly val="0"/>
    <c:dispBlanksAs val="gap"/>
    <c:showDLblsOverMax val="0"/>
  </c:chart>
  <c:spPr>
    <a:solidFill>
      <a:srgbClr val="FFFFFF"/>
    </a:solidFill>
    <a:ln w="3176">
      <a:solidFill>
        <a:srgbClr val="000000"/>
      </a:solidFill>
      <a:prstDash val="solid"/>
    </a:ln>
  </c:spPr>
  <c:txPr>
    <a:bodyPr/>
    <a:lstStyle/>
    <a:p>
      <a:pPr>
        <a:defRPr sz="1000" b="0" i="0" u="none" strike="noStrike" baseline="0">
          <a:solidFill>
            <a:srgbClr val="000000"/>
          </a:solidFill>
          <a:latin typeface="Geneva"/>
          <a:ea typeface="Geneva"/>
          <a:cs typeface="Geneva"/>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Geneva"/>
                <a:ea typeface="Geneva"/>
                <a:cs typeface="Geneva"/>
              </a:defRPr>
            </a:pPr>
            <a:r>
              <a:rPr lang="en-US"/>
              <a:t>School Children</a:t>
            </a:r>
          </a:p>
        </c:rich>
      </c:tx>
      <c:layout>
        <c:manualLayout>
          <c:xMode val="edge"/>
          <c:yMode val="edge"/>
          <c:x val="0.30124223602484473"/>
          <c:y val="2.1052631578947368E-2"/>
        </c:manualLayout>
      </c:layout>
      <c:overlay val="0"/>
      <c:spPr>
        <a:noFill/>
        <a:ln w="25399">
          <a:noFill/>
        </a:ln>
      </c:spPr>
    </c:title>
    <c:autoTitleDeleted val="0"/>
    <c:plotArea>
      <c:layout>
        <c:manualLayout>
          <c:layoutTarget val="inner"/>
          <c:xMode val="edge"/>
          <c:yMode val="edge"/>
          <c:x val="0.18944099378881987"/>
          <c:y val="0.21754385964912282"/>
          <c:w val="0.74534161490683226"/>
          <c:h val="0.55789473684210522"/>
        </c:manualLayout>
      </c:layout>
      <c:scatterChart>
        <c:scatterStyle val="lineMarker"/>
        <c:varyColors val="0"/>
        <c:ser>
          <c:idx val="0"/>
          <c:order val="0"/>
          <c:tx>
            <c:v>hw</c:v>
          </c:tx>
          <c:spPr>
            <a:ln w="19049">
              <a:noFill/>
            </a:ln>
          </c:spPr>
          <c:marker>
            <c:symbol val="square"/>
            <c:size val="4"/>
            <c:spPr>
              <a:solidFill>
                <a:srgbClr val="FF0000"/>
              </a:solidFill>
              <a:ln>
                <a:solidFill>
                  <a:srgbClr val="000000"/>
                </a:solidFill>
                <a:prstDash val="solid"/>
              </a:ln>
            </c:spPr>
          </c:marker>
          <c:xVal>
            <c:numRef>
              <c:f>Sheet1!$B$2:$B$11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Sheet1!$C$2:$C$11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0-EFF2-4B23-A035-80277B516242}"/>
            </c:ext>
          </c:extLst>
        </c:ser>
        <c:dLbls>
          <c:showLegendKey val="0"/>
          <c:showVal val="0"/>
          <c:showCatName val="0"/>
          <c:showSerName val="0"/>
          <c:showPercent val="0"/>
          <c:showBubbleSize val="0"/>
        </c:dLbls>
        <c:axId val="345456504"/>
        <c:axId val="345455328"/>
      </c:scatterChart>
      <c:valAx>
        <c:axId val="345456504"/>
        <c:scaling>
          <c:orientation val="minMax"/>
          <c:max val="148"/>
          <c:min val="132"/>
        </c:scaling>
        <c:delete val="0"/>
        <c:axPos val="b"/>
        <c:title>
          <c:tx>
            <c:rich>
              <a:bodyPr/>
              <a:lstStyle/>
              <a:p>
                <a:pPr>
                  <a:defRPr sz="1000" b="1" i="0" u="none" strike="noStrike" baseline="0">
                    <a:solidFill>
                      <a:srgbClr val="000000"/>
                    </a:solidFill>
                    <a:latin typeface="Geneva"/>
                    <a:ea typeface="Geneva"/>
                    <a:cs typeface="Geneva"/>
                  </a:defRPr>
                </a:pPr>
                <a:r>
                  <a:rPr lang="en-US"/>
                  <a:t>Height (cm)    </a:t>
                </a:r>
              </a:p>
            </c:rich>
          </c:tx>
          <c:layout>
            <c:manualLayout>
              <c:xMode val="edge"/>
              <c:yMode val="edge"/>
              <c:x val="0.44099378881987578"/>
              <c:y val="0.8807017543859648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345455328"/>
        <c:crosses val="autoZero"/>
        <c:crossBetween val="midCat"/>
        <c:majorUnit val="4"/>
        <c:minorUnit val="1"/>
      </c:valAx>
      <c:valAx>
        <c:axId val="345455328"/>
        <c:scaling>
          <c:orientation val="minMax"/>
          <c:min val="26"/>
        </c:scaling>
        <c:delete val="0"/>
        <c:axPos val="l"/>
        <c:title>
          <c:tx>
            <c:rich>
              <a:bodyPr/>
              <a:lstStyle/>
              <a:p>
                <a:pPr>
                  <a:defRPr sz="1000" b="1" i="0" u="none" strike="noStrike" baseline="0">
                    <a:solidFill>
                      <a:srgbClr val="000000"/>
                    </a:solidFill>
                    <a:latin typeface="Geneva"/>
                    <a:ea typeface="Geneva"/>
                    <a:cs typeface="Geneva"/>
                  </a:defRPr>
                </a:pPr>
                <a:r>
                  <a:rPr lang="en-US"/>
                  <a:t>Weight (kg)   </a:t>
                </a:r>
              </a:p>
            </c:rich>
          </c:tx>
          <c:layout>
            <c:manualLayout>
              <c:xMode val="edge"/>
              <c:yMode val="edge"/>
              <c:x val="3.4161490683229816E-2"/>
              <c:y val="0.3578947368421052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345456504"/>
        <c:crossesAt val="132"/>
        <c:crossBetween val="midCat"/>
        <c:majorUnit val="4"/>
      </c:valAx>
      <c:spPr>
        <a:noFill/>
        <a:ln w="25399">
          <a:noFill/>
        </a:ln>
      </c:spPr>
    </c:plotArea>
    <c:plotVisOnly val="0"/>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Geneva"/>
          <a:ea typeface="Geneva"/>
          <a:cs typeface="Geneva"/>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Geneva"/>
                <a:ea typeface="Geneva"/>
                <a:cs typeface="Geneva"/>
              </a:defRPr>
            </a:pPr>
            <a:r>
              <a:rPr lang="en-US"/>
              <a:t>School Children</a:t>
            </a:r>
          </a:p>
        </c:rich>
      </c:tx>
      <c:layout>
        <c:manualLayout>
          <c:xMode val="edge"/>
          <c:yMode val="edge"/>
          <c:x val="0.29906542056074764"/>
          <c:y val="2.1052631578947368E-2"/>
        </c:manualLayout>
      </c:layout>
      <c:overlay val="0"/>
      <c:spPr>
        <a:noFill/>
        <a:ln w="25399">
          <a:noFill/>
        </a:ln>
      </c:spPr>
    </c:title>
    <c:autoTitleDeleted val="0"/>
    <c:plotArea>
      <c:layout>
        <c:manualLayout>
          <c:layoutTarget val="inner"/>
          <c:xMode val="edge"/>
          <c:yMode val="edge"/>
          <c:x val="0.21183800623052959"/>
          <c:y val="0.24561403508771928"/>
          <c:w val="0.71651090342679125"/>
          <c:h val="0.50526315789473686"/>
        </c:manualLayout>
      </c:layout>
      <c:scatterChart>
        <c:scatterStyle val="lineMarker"/>
        <c:varyColors val="0"/>
        <c:ser>
          <c:idx val="0"/>
          <c:order val="0"/>
          <c:tx>
            <c:v>hw</c:v>
          </c:tx>
          <c:spPr>
            <a:ln w="19050">
              <a:noFill/>
            </a:ln>
          </c:spPr>
          <c:marker>
            <c:symbol val="square"/>
            <c:size val="4"/>
            <c:spPr>
              <a:solidFill>
                <a:srgbClr val="FF0000"/>
              </a:solidFill>
              <a:ln>
                <a:solidFill>
                  <a:srgbClr val="000000"/>
                </a:solidFill>
                <a:prstDash val="solid"/>
              </a:ln>
            </c:spPr>
          </c:marker>
          <c:xVal>
            <c:numRef>
              <c:f>Sheet1!$B$2:$B$11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Sheet1!$C$2:$C$11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0-EB54-4B3E-BB22-FFEB1A3C8798}"/>
            </c:ext>
          </c:extLst>
        </c:ser>
        <c:ser>
          <c:idx val="1"/>
          <c:order val="1"/>
          <c:tx>
            <c:v>hpw</c:v>
          </c:tx>
          <c:spPr>
            <a:ln w="19050">
              <a:noFill/>
            </a:ln>
          </c:spPr>
          <c:marker>
            <c:symbol val="square"/>
            <c:size val="4"/>
            <c:spPr>
              <a:solidFill>
                <a:srgbClr val="00FF00"/>
              </a:solidFill>
              <a:ln>
                <a:solidFill>
                  <a:srgbClr val="000000"/>
                </a:solidFill>
                <a:prstDash val="solid"/>
              </a:ln>
            </c:spPr>
          </c:marker>
          <c:trendline>
            <c:spPr>
              <a:ln w="25399">
                <a:solidFill>
                  <a:srgbClr val="000000"/>
                </a:solidFill>
                <a:prstDash val="solid"/>
              </a:ln>
            </c:spPr>
            <c:trendlineType val="linear"/>
            <c:dispRSqr val="0"/>
            <c:dispEq val="0"/>
          </c:trendline>
          <c:xVal>
            <c:numRef>
              <c:f>Sheet1!$D$2:$D$11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Sheet1!$E$2:$E$11</c:f>
              <c:numCache>
                <c:formatCode>General</c:formatCode>
                <c:ptCount val="10"/>
                <c:pt idx="0">
                  <c:v>28.58552631578921</c:v>
                </c:pt>
                <c:pt idx="1">
                  <c:v>29.328947368420842</c:v>
                </c:pt>
                <c:pt idx="2">
                  <c:v>29.328947368420842</c:v>
                </c:pt>
                <c:pt idx="3">
                  <c:v>30.815789473684092</c:v>
                </c:pt>
                <c:pt idx="4">
                  <c:v>30.815789473684092</c:v>
                </c:pt>
                <c:pt idx="5">
                  <c:v>32.302631578947356</c:v>
                </c:pt>
                <c:pt idx="6">
                  <c:v>34.532894736842238</c:v>
                </c:pt>
                <c:pt idx="7">
                  <c:v>36.019736842105502</c:v>
                </c:pt>
                <c:pt idx="8">
                  <c:v>36.76315789473712</c:v>
                </c:pt>
                <c:pt idx="9">
                  <c:v>37.506578947368752</c:v>
                </c:pt>
              </c:numCache>
            </c:numRef>
          </c:yVal>
          <c:smooth val="0"/>
          <c:extLst>
            <c:ext xmlns:c16="http://schemas.microsoft.com/office/drawing/2014/chart" uri="{C3380CC4-5D6E-409C-BE32-E72D297353CC}">
              <c16:uniqueId val="{00000002-EB54-4B3E-BB22-FFEB1A3C8798}"/>
            </c:ext>
          </c:extLst>
        </c:ser>
        <c:dLbls>
          <c:showLegendKey val="0"/>
          <c:showVal val="0"/>
          <c:showCatName val="0"/>
          <c:showSerName val="0"/>
          <c:showPercent val="0"/>
          <c:showBubbleSize val="0"/>
        </c:dLbls>
        <c:axId val="700215616"/>
        <c:axId val="700216400"/>
      </c:scatterChart>
      <c:valAx>
        <c:axId val="700215616"/>
        <c:scaling>
          <c:orientation val="minMax"/>
          <c:max val="148"/>
          <c:min val="132"/>
        </c:scaling>
        <c:delete val="0"/>
        <c:axPos val="b"/>
        <c:title>
          <c:tx>
            <c:rich>
              <a:bodyPr/>
              <a:lstStyle/>
              <a:p>
                <a:pPr>
                  <a:defRPr sz="1000" b="1" i="0" u="none" strike="noStrike" baseline="0">
                    <a:solidFill>
                      <a:srgbClr val="000000"/>
                    </a:solidFill>
                    <a:latin typeface="Geneva"/>
                    <a:ea typeface="Geneva"/>
                    <a:cs typeface="Geneva"/>
                  </a:defRPr>
                </a:pPr>
                <a:r>
                  <a:rPr lang="en-US"/>
                  <a:t>Height (cm)    </a:t>
                </a:r>
              </a:p>
            </c:rich>
          </c:tx>
          <c:layout>
            <c:manualLayout>
              <c:xMode val="edge"/>
              <c:yMode val="edge"/>
              <c:x val="0.44859813084112149"/>
              <c:y val="0.85614035087719298"/>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6400"/>
        <c:crosses val="autoZero"/>
        <c:crossBetween val="midCat"/>
        <c:majorUnit val="4"/>
        <c:minorUnit val="1"/>
      </c:valAx>
      <c:valAx>
        <c:axId val="700216400"/>
        <c:scaling>
          <c:orientation val="minMax"/>
          <c:min val="26"/>
        </c:scaling>
        <c:delete val="0"/>
        <c:axPos val="l"/>
        <c:title>
          <c:tx>
            <c:rich>
              <a:bodyPr/>
              <a:lstStyle/>
              <a:p>
                <a:pPr>
                  <a:defRPr sz="1000" b="1" i="0" u="none" strike="noStrike" baseline="0">
                    <a:solidFill>
                      <a:srgbClr val="000000"/>
                    </a:solidFill>
                    <a:latin typeface="Geneva"/>
                    <a:ea typeface="Geneva"/>
                    <a:cs typeface="Geneva"/>
                  </a:defRPr>
                </a:pPr>
                <a:r>
                  <a:rPr lang="en-US"/>
                  <a:t>Weight (kg)   </a:t>
                </a:r>
              </a:p>
            </c:rich>
          </c:tx>
          <c:layout>
            <c:manualLayout>
              <c:xMode val="edge"/>
              <c:yMode val="edge"/>
              <c:x val="5.6074766355140186E-2"/>
              <c:y val="0.36140350877192984"/>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5616"/>
        <c:crossesAt val="132"/>
        <c:crossBetween val="midCat"/>
        <c:majorUnit val="4"/>
      </c:valAx>
      <c:spPr>
        <a:noFill/>
        <a:ln w="25399">
          <a:noFill/>
        </a:ln>
      </c:spPr>
    </c:plotArea>
    <c:plotVisOnly val="0"/>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Geneva"/>
          <a:ea typeface="Geneva"/>
          <a:cs typeface="Geneva"/>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Geneva"/>
                <a:ea typeface="Geneva"/>
                <a:cs typeface="Geneva"/>
              </a:defRPr>
            </a:pPr>
            <a:r>
              <a:rPr lang="en-US"/>
              <a:t>School Children</a:t>
            </a:r>
          </a:p>
        </c:rich>
      </c:tx>
      <c:layout>
        <c:manualLayout>
          <c:xMode val="edge"/>
          <c:yMode val="edge"/>
          <c:x val="0.30124223602484473"/>
          <c:y val="2.1052631578947368E-2"/>
        </c:manualLayout>
      </c:layout>
      <c:overlay val="0"/>
      <c:spPr>
        <a:noFill/>
        <a:ln w="25399">
          <a:noFill/>
        </a:ln>
      </c:spPr>
    </c:title>
    <c:autoTitleDeleted val="0"/>
    <c:plotArea>
      <c:layout>
        <c:manualLayout>
          <c:layoutTarget val="inner"/>
          <c:xMode val="edge"/>
          <c:yMode val="edge"/>
          <c:x val="0.19355626842940926"/>
          <c:y val="0.2175437771771066"/>
          <c:w val="0.74534161490683226"/>
          <c:h val="0.55789473684210522"/>
        </c:manualLayout>
      </c:layout>
      <c:scatterChart>
        <c:scatterStyle val="lineMarker"/>
        <c:varyColors val="0"/>
        <c:ser>
          <c:idx val="0"/>
          <c:order val="0"/>
          <c:tx>
            <c:v>hw</c:v>
          </c:tx>
          <c:spPr>
            <a:ln w="19049">
              <a:noFill/>
            </a:ln>
          </c:spPr>
          <c:marker>
            <c:symbol val="square"/>
            <c:size val="4"/>
            <c:spPr>
              <a:solidFill>
                <a:srgbClr val="FF0000"/>
              </a:solidFill>
              <a:ln>
                <a:solidFill>
                  <a:srgbClr val="000000"/>
                </a:solidFill>
                <a:prstDash val="solid"/>
              </a:ln>
            </c:spPr>
          </c:marker>
          <c:xVal>
            <c:numRef>
              <c:f>Sheet1!$B$2:$B$11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Sheet1!$C$2:$C$11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0-C034-40FA-A889-885B6A578ADE}"/>
            </c:ext>
          </c:extLst>
        </c:ser>
        <c:ser>
          <c:idx val="1"/>
          <c:order val="1"/>
          <c:tx>
            <c:v>hpw</c:v>
          </c:tx>
          <c:spPr>
            <a:ln w="19049">
              <a:noFill/>
            </a:ln>
          </c:spPr>
          <c:marker>
            <c:symbol val="square"/>
            <c:size val="4"/>
            <c:spPr>
              <a:solidFill>
                <a:srgbClr val="00FF00"/>
              </a:solidFill>
              <a:ln>
                <a:solidFill>
                  <a:srgbClr val="000000"/>
                </a:solidFill>
                <a:prstDash val="solid"/>
              </a:ln>
            </c:spPr>
          </c:marker>
          <c:trendline>
            <c:spPr>
              <a:ln w="25399">
                <a:solidFill>
                  <a:srgbClr val="000000"/>
                </a:solidFill>
                <a:prstDash val="solid"/>
              </a:ln>
            </c:spPr>
            <c:trendlineType val="linear"/>
            <c:dispRSqr val="0"/>
            <c:dispEq val="0"/>
          </c:trendline>
          <c:xVal>
            <c:numRef>
              <c:f>Sheet1!$D$2:$D$11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Sheet1!$E$2:$E$11</c:f>
              <c:numCache>
                <c:formatCode>General</c:formatCode>
                <c:ptCount val="10"/>
                <c:pt idx="0">
                  <c:v>28.58552631578921</c:v>
                </c:pt>
                <c:pt idx="1">
                  <c:v>29.328947368420842</c:v>
                </c:pt>
                <c:pt idx="2">
                  <c:v>29.328947368420842</c:v>
                </c:pt>
                <c:pt idx="3">
                  <c:v>30.815789473684092</c:v>
                </c:pt>
                <c:pt idx="4">
                  <c:v>30.815789473684092</c:v>
                </c:pt>
                <c:pt idx="5">
                  <c:v>32.302631578947356</c:v>
                </c:pt>
                <c:pt idx="6">
                  <c:v>34.532894736842238</c:v>
                </c:pt>
                <c:pt idx="7">
                  <c:v>36.019736842105502</c:v>
                </c:pt>
                <c:pt idx="8">
                  <c:v>36.76315789473712</c:v>
                </c:pt>
                <c:pt idx="9">
                  <c:v>37.506578947368752</c:v>
                </c:pt>
              </c:numCache>
            </c:numRef>
          </c:yVal>
          <c:smooth val="0"/>
          <c:extLst>
            <c:ext xmlns:c16="http://schemas.microsoft.com/office/drawing/2014/chart" uri="{C3380CC4-5D6E-409C-BE32-E72D297353CC}">
              <c16:uniqueId val="{00000002-C034-40FA-A889-885B6A578ADE}"/>
            </c:ext>
          </c:extLst>
        </c:ser>
        <c:ser>
          <c:idx val="2"/>
          <c:order val="2"/>
          <c:tx>
            <c:v>wph</c:v>
          </c:tx>
          <c:spPr>
            <a:ln w="19049">
              <a:noFill/>
            </a:ln>
          </c:spPr>
          <c:marker>
            <c:symbol val="diamond"/>
            <c:size val="4"/>
            <c:spPr>
              <a:solidFill>
                <a:srgbClr val="FFFFFF"/>
              </a:solidFill>
              <a:ln>
                <a:solidFill>
                  <a:srgbClr val="000000"/>
                </a:solidFill>
                <a:prstDash val="solid"/>
              </a:ln>
            </c:spPr>
          </c:marker>
          <c:trendline>
            <c:spPr>
              <a:ln w="25399">
                <a:solidFill>
                  <a:srgbClr val="000000"/>
                </a:solidFill>
                <a:prstDash val="solid"/>
              </a:ln>
            </c:spPr>
            <c:trendlineType val="linear"/>
            <c:dispRSqr val="0"/>
            <c:dispEq val="0"/>
          </c:trendline>
          <c:xVal>
            <c:numRef>
              <c:f>Sheet1!$F$2:$F$11</c:f>
              <c:numCache>
                <c:formatCode>General</c:formatCode>
                <c:ptCount val="10"/>
                <c:pt idx="0">
                  <c:v>133.91329479768774</c:v>
                </c:pt>
                <c:pt idx="1">
                  <c:v>133.91329479768774</c:v>
                </c:pt>
                <c:pt idx="2">
                  <c:v>135.87283236994213</c:v>
                </c:pt>
                <c:pt idx="3">
                  <c:v>138.81213872832367</c:v>
                </c:pt>
                <c:pt idx="4">
                  <c:v>140.77167630057806</c:v>
                </c:pt>
                <c:pt idx="5">
                  <c:v>141.75144508670525</c:v>
                </c:pt>
                <c:pt idx="6">
                  <c:v>138.81213872832367</c:v>
                </c:pt>
                <c:pt idx="7">
                  <c:v>143.71098265895961</c:v>
                </c:pt>
                <c:pt idx="8">
                  <c:v>141.75144508670525</c:v>
                </c:pt>
                <c:pt idx="9">
                  <c:v>144.69075144508679</c:v>
                </c:pt>
              </c:numCache>
            </c:numRef>
          </c:xVal>
          <c:yVal>
            <c:numRef>
              <c:f>Sheet1!$G$2:$G$11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4-C034-40FA-A889-885B6A578ADE}"/>
            </c:ext>
          </c:extLst>
        </c:ser>
        <c:dLbls>
          <c:showLegendKey val="0"/>
          <c:showVal val="0"/>
          <c:showCatName val="0"/>
          <c:showSerName val="0"/>
          <c:showPercent val="0"/>
          <c:showBubbleSize val="0"/>
        </c:dLbls>
        <c:axId val="700217184"/>
        <c:axId val="700218360"/>
      </c:scatterChart>
      <c:valAx>
        <c:axId val="700217184"/>
        <c:scaling>
          <c:orientation val="minMax"/>
          <c:max val="148"/>
          <c:min val="132"/>
        </c:scaling>
        <c:delete val="0"/>
        <c:axPos val="b"/>
        <c:title>
          <c:tx>
            <c:rich>
              <a:bodyPr/>
              <a:lstStyle/>
              <a:p>
                <a:pPr>
                  <a:defRPr sz="1000" b="1" i="0" u="none" strike="noStrike" baseline="0">
                    <a:solidFill>
                      <a:srgbClr val="000000"/>
                    </a:solidFill>
                    <a:latin typeface="Geneva"/>
                    <a:ea typeface="Geneva"/>
                    <a:cs typeface="Geneva"/>
                  </a:defRPr>
                </a:pPr>
                <a:r>
                  <a:rPr lang="en-US"/>
                  <a:t>Height (cm)    </a:t>
                </a:r>
              </a:p>
            </c:rich>
          </c:tx>
          <c:layout>
            <c:manualLayout>
              <c:xMode val="edge"/>
              <c:yMode val="edge"/>
              <c:x val="0.44099378881987578"/>
              <c:y val="0.8807017543859648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8360"/>
        <c:crosses val="autoZero"/>
        <c:crossBetween val="midCat"/>
        <c:majorUnit val="4"/>
        <c:minorUnit val="1"/>
      </c:valAx>
      <c:valAx>
        <c:axId val="700218360"/>
        <c:scaling>
          <c:orientation val="minMax"/>
          <c:min val="26"/>
        </c:scaling>
        <c:delete val="0"/>
        <c:axPos val="l"/>
        <c:title>
          <c:tx>
            <c:rich>
              <a:bodyPr/>
              <a:lstStyle/>
              <a:p>
                <a:pPr>
                  <a:defRPr sz="1000" b="1" i="0" u="none" strike="noStrike" baseline="0">
                    <a:solidFill>
                      <a:srgbClr val="000000"/>
                    </a:solidFill>
                    <a:latin typeface="Geneva"/>
                    <a:ea typeface="Geneva"/>
                    <a:cs typeface="Geneva"/>
                  </a:defRPr>
                </a:pPr>
                <a:r>
                  <a:rPr lang="en-US"/>
                  <a:t>Weight (kg)   </a:t>
                </a:r>
              </a:p>
            </c:rich>
          </c:tx>
          <c:layout>
            <c:manualLayout>
              <c:xMode val="edge"/>
              <c:yMode val="edge"/>
              <c:x val="3.4161490683229816E-2"/>
              <c:y val="0.3578947368421052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7184"/>
        <c:crossesAt val="132"/>
        <c:crossBetween val="midCat"/>
        <c:majorUnit val="4"/>
      </c:valAx>
      <c:spPr>
        <a:noFill/>
        <a:ln w="25399">
          <a:noFill/>
        </a:ln>
      </c:spPr>
    </c:plotArea>
    <c:plotVisOnly val="0"/>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Geneva"/>
          <a:ea typeface="Geneva"/>
          <a:cs typeface="Geneva"/>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Geneva"/>
                <a:ea typeface="Geneva"/>
                <a:cs typeface="Geneva"/>
              </a:defRPr>
            </a:pPr>
            <a:r>
              <a:rPr lang="en-US"/>
              <a:t>School Children</a:t>
            </a:r>
          </a:p>
        </c:rich>
      </c:tx>
      <c:layout>
        <c:manualLayout>
          <c:xMode val="edge"/>
          <c:yMode val="edge"/>
          <c:x val="0.30124223602484473"/>
          <c:y val="2.1052631578947368E-2"/>
        </c:manualLayout>
      </c:layout>
      <c:overlay val="0"/>
      <c:spPr>
        <a:noFill/>
        <a:ln w="25399">
          <a:noFill/>
        </a:ln>
      </c:spPr>
    </c:title>
    <c:autoTitleDeleted val="0"/>
    <c:plotArea>
      <c:layout>
        <c:manualLayout>
          <c:layoutTarget val="inner"/>
          <c:xMode val="edge"/>
          <c:yMode val="edge"/>
          <c:x val="0.18944099378881987"/>
          <c:y val="0.21754385964912282"/>
          <c:w val="0.74534161490683226"/>
          <c:h val="0.55789473684210522"/>
        </c:manualLayout>
      </c:layout>
      <c:scatterChart>
        <c:scatterStyle val="lineMarker"/>
        <c:varyColors val="0"/>
        <c:ser>
          <c:idx val="0"/>
          <c:order val="0"/>
          <c:tx>
            <c:v>hw</c:v>
          </c:tx>
          <c:spPr>
            <a:ln w="19049">
              <a:noFill/>
            </a:ln>
          </c:spPr>
          <c:marker>
            <c:symbol val="square"/>
            <c:size val="4"/>
            <c:spPr>
              <a:solidFill>
                <a:srgbClr val="FF0000"/>
              </a:solidFill>
              <a:ln>
                <a:solidFill>
                  <a:srgbClr val="000000"/>
                </a:solidFill>
                <a:prstDash val="solid"/>
              </a:ln>
            </c:spPr>
          </c:marker>
          <c:xVal>
            <c:numRef>
              <c:f>Sheet1!$B$2:$B$11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Sheet1!$C$2:$C$11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0-B285-4546-9F9C-6A1DB022AA57}"/>
            </c:ext>
          </c:extLst>
        </c:ser>
        <c:ser>
          <c:idx val="1"/>
          <c:order val="1"/>
          <c:tx>
            <c:v>hpw</c:v>
          </c:tx>
          <c:spPr>
            <a:ln w="19049">
              <a:noFill/>
            </a:ln>
          </c:spPr>
          <c:marker>
            <c:symbol val="square"/>
            <c:size val="4"/>
            <c:spPr>
              <a:solidFill>
                <a:srgbClr val="00FF00"/>
              </a:solidFill>
              <a:ln>
                <a:solidFill>
                  <a:srgbClr val="000000"/>
                </a:solidFill>
                <a:prstDash val="solid"/>
              </a:ln>
            </c:spPr>
          </c:marker>
          <c:trendline>
            <c:spPr>
              <a:ln w="25399">
                <a:solidFill>
                  <a:srgbClr val="000000"/>
                </a:solidFill>
                <a:prstDash val="solid"/>
              </a:ln>
            </c:spPr>
            <c:trendlineType val="linear"/>
            <c:dispRSqr val="0"/>
            <c:dispEq val="0"/>
          </c:trendline>
          <c:xVal>
            <c:numRef>
              <c:f>Sheet1!$D$2:$D$11</c:f>
              <c:numCache>
                <c:formatCode>General</c:formatCode>
                <c:ptCount val="10"/>
                <c:pt idx="0">
                  <c:v>134</c:v>
                </c:pt>
                <c:pt idx="1">
                  <c:v>135</c:v>
                </c:pt>
                <c:pt idx="2">
                  <c:v>135</c:v>
                </c:pt>
                <c:pt idx="3">
                  <c:v>137</c:v>
                </c:pt>
                <c:pt idx="4">
                  <c:v>137</c:v>
                </c:pt>
                <c:pt idx="5">
                  <c:v>139</c:v>
                </c:pt>
                <c:pt idx="6">
                  <c:v>142</c:v>
                </c:pt>
                <c:pt idx="7">
                  <c:v>144</c:v>
                </c:pt>
                <c:pt idx="8">
                  <c:v>145</c:v>
                </c:pt>
                <c:pt idx="9">
                  <c:v>146</c:v>
                </c:pt>
              </c:numCache>
            </c:numRef>
          </c:xVal>
          <c:yVal>
            <c:numRef>
              <c:f>Sheet1!$E$2:$E$11</c:f>
              <c:numCache>
                <c:formatCode>General</c:formatCode>
                <c:ptCount val="10"/>
                <c:pt idx="0">
                  <c:v>28.58552631578921</c:v>
                </c:pt>
                <c:pt idx="1">
                  <c:v>29.328947368420842</c:v>
                </c:pt>
                <c:pt idx="2">
                  <c:v>29.328947368420842</c:v>
                </c:pt>
                <c:pt idx="3">
                  <c:v>30.815789473684092</c:v>
                </c:pt>
                <c:pt idx="4">
                  <c:v>30.815789473684092</c:v>
                </c:pt>
                <c:pt idx="5">
                  <c:v>32.302631578947356</c:v>
                </c:pt>
                <c:pt idx="6">
                  <c:v>34.532894736842238</c:v>
                </c:pt>
                <c:pt idx="7">
                  <c:v>36.019736842105502</c:v>
                </c:pt>
                <c:pt idx="8">
                  <c:v>36.76315789473712</c:v>
                </c:pt>
                <c:pt idx="9">
                  <c:v>37.506578947368752</c:v>
                </c:pt>
              </c:numCache>
            </c:numRef>
          </c:yVal>
          <c:smooth val="0"/>
          <c:extLst>
            <c:ext xmlns:c16="http://schemas.microsoft.com/office/drawing/2014/chart" uri="{C3380CC4-5D6E-409C-BE32-E72D297353CC}">
              <c16:uniqueId val="{00000002-B285-4546-9F9C-6A1DB022AA57}"/>
            </c:ext>
          </c:extLst>
        </c:ser>
        <c:ser>
          <c:idx val="2"/>
          <c:order val="2"/>
          <c:tx>
            <c:v>wph</c:v>
          </c:tx>
          <c:spPr>
            <a:ln w="19049">
              <a:noFill/>
            </a:ln>
          </c:spPr>
          <c:marker>
            <c:symbol val="diamond"/>
            <c:size val="4"/>
            <c:spPr>
              <a:solidFill>
                <a:srgbClr val="FFFFFF"/>
              </a:solidFill>
              <a:ln>
                <a:solidFill>
                  <a:srgbClr val="000000"/>
                </a:solidFill>
                <a:prstDash val="solid"/>
              </a:ln>
            </c:spPr>
          </c:marker>
          <c:trendline>
            <c:spPr>
              <a:ln w="25399">
                <a:solidFill>
                  <a:srgbClr val="000000"/>
                </a:solidFill>
                <a:prstDash val="solid"/>
              </a:ln>
            </c:spPr>
            <c:trendlineType val="linear"/>
            <c:dispRSqr val="0"/>
            <c:dispEq val="0"/>
          </c:trendline>
          <c:xVal>
            <c:numRef>
              <c:f>Sheet1!$F$2:$F$11</c:f>
              <c:numCache>
                <c:formatCode>General</c:formatCode>
                <c:ptCount val="10"/>
                <c:pt idx="0">
                  <c:v>133.91329479768774</c:v>
                </c:pt>
                <c:pt idx="1">
                  <c:v>133.91329479768774</c:v>
                </c:pt>
                <c:pt idx="2">
                  <c:v>135.87283236994213</c:v>
                </c:pt>
                <c:pt idx="3">
                  <c:v>138.81213872832367</c:v>
                </c:pt>
                <c:pt idx="4">
                  <c:v>140.77167630057806</c:v>
                </c:pt>
                <c:pt idx="5">
                  <c:v>141.75144508670525</c:v>
                </c:pt>
                <c:pt idx="6">
                  <c:v>138.81213872832367</c:v>
                </c:pt>
                <c:pt idx="7">
                  <c:v>143.71098265895961</c:v>
                </c:pt>
                <c:pt idx="8">
                  <c:v>141.75144508670525</c:v>
                </c:pt>
                <c:pt idx="9">
                  <c:v>144.69075144508679</c:v>
                </c:pt>
              </c:numCache>
            </c:numRef>
          </c:xVal>
          <c:yVal>
            <c:numRef>
              <c:f>Sheet1!$G$2:$G$11</c:f>
              <c:numCache>
                <c:formatCode>General</c:formatCode>
                <c:ptCount val="10"/>
                <c:pt idx="0">
                  <c:v>27</c:v>
                </c:pt>
                <c:pt idx="1">
                  <c:v>27</c:v>
                </c:pt>
                <c:pt idx="2">
                  <c:v>29</c:v>
                </c:pt>
                <c:pt idx="3">
                  <c:v>32</c:v>
                </c:pt>
                <c:pt idx="4">
                  <c:v>34</c:v>
                </c:pt>
                <c:pt idx="5">
                  <c:v>35</c:v>
                </c:pt>
                <c:pt idx="6">
                  <c:v>32</c:v>
                </c:pt>
                <c:pt idx="7">
                  <c:v>37</c:v>
                </c:pt>
                <c:pt idx="8">
                  <c:v>35</c:v>
                </c:pt>
                <c:pt idx="9">
                  <c:v>38</c:v>
                </c:pt>
              </c:numCache>
            </c:numRef>
          </c:yVal>
          <c:smooth val="0"/>
          <c:extLst>
            <c:ext xmlns:c16="http://schemas.microsoft.com/office/drawing/2014/chart" uri="{C3380CC4-5D6E-409C-BE32-E72D297353CC}">
              <c16:uniqueId val="{00000004-B285-4546-9F9C-6A1DB022AA57}"/>
            </c:ext>
          </c:extLst>
        </c:ser>
        <c:dLbls>
          <c:showLegendKey val="0"/>
          <c:showVal val="0"/>
          <c:showCatName val="0"/>
          <c:showSerName val="0"/>
          <c:showPercent val="0"/>
          <c:showBubbleSize val="0"/>
        </c:dLbls>
        <c:axId val="700218752"/>
        <c:axId val="700215224"/>
      </c:scatterChart>
      <c:valAx>
        <c:axId val="700218752"/>
        <c:scaling>
          <c:orientation val="minMax"/>
          <c:max val="148"/>
          <c:min val="132"/>
        </c:scaling>
        <c:delete val="0"/>
        <c:axPos val="b"/>
        <c:title>
          <c:tx>
            <c:rich>
              <a:bodyPr/>
              <a:lstStyle/>
              <a:p>
                <a:pPr>
                  <a:defRPr sz="1000" b="1" i="0" u="none" strike="noStrike" baseline="0">
                    <a:solidFill>
                      <a:srgbClr val="000000"/>
                    </a:solidFill>
                    <a:latin typeface="Geneva"/>
                    <a:ea typeface="Geneva"/>
                    <a:cs typeface="Geneva"/>
                  </a:defRPr>
                </a:pPr>
                <a:r>
                  <a:rPr lang="en-US"/>
                  <a:t>Height (cm)    </a:t>
                </a:r>
              </a:p>
            </c:rich>
          </c:tx>
          <c:layout>
            <c:manualLayout>
              <c:xMode val="edge"/>
              <c:yMode val="edge"/>
              <c:x val="0.44099378881987578"/>
              <c:y val="0.8807017543859648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5224"/>
        <c:crosses val="autoZero"/>
        <c:crossBetween val="midCat"/>
        <c:majorUnit val="4"/>
        <c:minorUnit val="1"/>
      </c:valAx>
      <c:valAx>
        <c:axId val="700215224"/>
        <c:scaling>
          <c:orientation val="minMax"/>
          <c:min val="26"/>
        </c:scaling>
        <c:delete val="0"/>
        <c:axPos val="l"/>
        <c:title>
          <c:tx>
            <c:rich>
              <a:bodyPr/>
              <a:lstStyle/>
              <a:p>
                <a:pPr>
                  <a:defRPr sz="1000" b="1" i="0" u="none" strike="noStrike" baseline="0">
                    <a:solidFill>
                      <a:srgbClr val="000000"/>
                    </a:solidFill>
                    <a:latin typeface="Geneva"/>
                    <a:ea typeface="Geneva"/>
                    <a:cs typeface="Geneva"/>
                  </a:defRPr>
                </a:pPr>
                <a:r>
                  <a:rPr lang="en-US"/>
                  <a:t>Weight (kg)   </a:t>
                </a:r>
              </a:p>
            </c:rich>
          </c:tx>
          <c:layout>
            <c:manualLayout>
              <c:xMode val="edge"/>
              <c:yMode val="edge"/>
              <c:x val="3.4161490683229816E-2"/>
              <c:y val="0.35789473684210527"/>
            </c:manualLayout>
          </c:layout>
          <c:overlay val="0"/>
          <c:spPr>
            <a:noFill/>
            <a:ln w="25399">
              <a:noFill/>
            </a:ln>
          </c:spPr>
        </c:title>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Geneva"/>
                <a:ea typeface="Geneva"/>
                <a:cs typeface="Geneva"/>
              </a:defRPr>
            </a:pPr>
            <a:endParaRPr lang="en-US"/>
          </a:p>
        </c:txPr>
        <c:crossAx val="700218752"/>
        <c:crossesAt val="132"/>
        <c:crossBetween val="midCat"/>
        <c:majorUnit val="4"/>
      </c:valAx>
      <c:spPr>
        <a:noFill/>
        <a:ln w="25399">
          <a:noFill/>
        </a:ln>
      </c:spPr>
    </c:plotArea>
    <c:plotVisOnly val="0"/>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Geneva"/>
          <a:ea typeface="Geneva"/>
          <a:cs typeface="Geneva"/>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1DE4DCE-F6D3-4383-874F-4AD00F4FD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69</TotalTime>
  <Pages>7</Pages>
  <Words>924</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2018-11-20T20:36:00Z</dcterms:created>
  <dcterms:modified xsi:type="dcterms:W3CDTF">2020-03-11T16:07:00Z</dcterms:modified>
</cp:coreProperties>
</file>